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89336">
      <w:pPr>
        <w:spacing w:line="560" w:lineRule="exact"/>
        <w:rPr>
          <w:rFonts w:hint="eastAsia" w:ascii="方正小标宋简体" w:hAnsi="华文中宋" w:eastAsia="方正小标宋简体" w:cs="方正小标宋简体"/>
          <w:color w:val="000000"/>
          <w:sz w:val="44"/>
          <w:szCs w:val="44"/>
          <w:u w:val="single"/>
        </w:rPr>
      </w:pPr>
      <w:r>
        <w:rPr>
          <w:rFonts w:hint="eastAsia" w:ascii="黑体" w:hAnsi="华文中宋" w:eastAsia="黑体" w:cs="黑体"/>
          <w:color w:val="000000"/>
          <w:kern w:val="0"/>
          <w:sz w:val="32"/>
          <w:szCs w:val="32"/>
        </w:rPr>
        <w:t>附件</w:t>
      </w:r>
      <w:r>
        <w:rPr>
          <w:rFonts w:ascii="黑体" w:hAnsi="华文中宋" w:eastAsia="黑体" w:cs="黑体"/>
          <w:color w:val="000000"/>
          <w:kern w:val="0"/>
          <w:sz w:val="32"/>
          <w:szCs w:val="32"/>
        </w:rPr>
        <w:t>3</w:t>
      </w:r>
    </w:p>
    <w:p w14:paraId="774BAACF">
      <w:pPr>
        <w:spacing w:line="600" w:lineRule="exact"/>
        <w:ind w:firstLine="870"/>
        <w:jc w:val="center"/>
        <w:rPr>
          <w:rFonts w:hint="eastAsia" w:ascii="方正小标宋简体" w:hAnsi="华文中宋" w:eastAsia="方正小标宋简体" w:cs="方正小标宋简体"/>
          <w:color w:val="000000"/>
          <w:sz w:val="44"/>
          <w:szCs w:val="44"/>
        </w:rPr>
      </w:pPr>
      <w:r>
        <w:rPr>
          <w:rFonts w:hint="eastAsia" w:ascii="方正小标宋简体" w:hAnsi="华文中宋" w:eastAsia="方正小标宋简体" w:cs="方正小标宋简体"/>
          <w:color w:val="000000"/>
          <w:sz w:val="44"/>
          <w:szCs w:val="44"/>
          <w:u w:val="none"/>
          <w:lang w:val="en-US" w:eastAsia="zh-CN"/>
        </w:rPr>
        <w:t>湿地管委会第三季度</w:t>
      </w:r>
      <w:r>
        <w:rPr>
          <w:rFonts w:hint="eastAsia" w:ascii="方正小标宋简体" w:hAnsi="华文中宋" w:eastAsia="方正小标宋简体" w:cs="方正小标宋简体"/>
          <w:color w:val="000000"/>
          <w:sz w:val="44"/>
          <w:szCs w:val="44"/>
        </w:rPr>
        <w:t>《政府工作报告》</w:t>
      </w:r>
    </w:p>
    <w:p w14:paraId="4F8B67A3">
      <w:pPr>
        <w:spacing w:line="600" w:lineRule="exact"/>
        <w:ind w:firstLine="870"/>
        <w:jc w:val="center"/>
        <w:rPr>
          <w:rFonts w:ascii="方正小标宋简体" w:hAnsi="华文中宋" w:eastAsia="方正小标宋简体"/>
          <w:color w:val="000000"/>
          <w:sz w:val="44"/>
          <w:szCs w:val="44"/>
        </w:rPr>
      </w:pPr>
      <w:r>
        <w:rPr>
          <w:rFonts w:hint="eastAsia" w:ascii="方正小标宋简体" w:hAnsi="华文中宋" w:eastAsia="方正小标宋简体" w:cs="方正小标宋简体"/>
          <w:color w:val="000000"/>
          <w:sz w:val="44"/>
          <w:szCs w:val="44"/>
        </w:rPr>
        <w:t>任务进展情况一览表</w:t>
      </w:r>
    </w:p>
    <w:p w14:paraId="587CCA5D">
      <w:pPr>
        <w:spacing w:line="320" w:lineRule="exact"/>
        <w:ind w:firstLine="868"/>
        <w:jc w:val="center"/>
        <w:rPr>
          <w:rFonts w:ascii="方正小标宋简体" w:hAnsi="华文中宋" w:eastAsia="方正小标宋简体"/>
          <w:color w:val="000000"/>
          <w:sz w:val="44"/>
          <w:szCs w:val="44"/>
        </w:rPr>
      </w:pPr>
    </w:p>
    <w:p w14:paraId="455B6821">
      <w:pPr>
        <w:spacing w:line="600" w:lineRule="exact"/>
        <w:ind w:firstLine="320" w:firstLineChars="100"/>
        <w:rPr>
          <w:rFonts w:hint="default" w:ascii="仿宋_GB2312" w:hAnsi="华文中宋" w:eastAsia="仿宋_GB2312" w:cs="仿宋_GB2312"/>
          <w:color w:val="000000"/>
          <w:sz w:val="32"/>
          <w:szCs w:val="32"/>
          <w:lang w:val="en-US" w:eastAsia="zh-CN"/>
        </w:rPr>
      </w:pPr>
      <w:r>
        <w:rPr>
          <w:rFonts w:hint="eastAsia" w:ascii="仿宋_GB2312" w:hAnsi="华文中宋" w:eastAsia="仿宋_GB2312" w:cs="仿宋_GB2312"/>
          <w:color w:val="000000"/>
          <w:sz w:val="32"/>
          <w:szCs w:val="32"/>
        </w:rPr>
        <w:t>填报单位（公章）：</w:t>
      </w:r>
      <w:r>
        <w:rPr>
          <w:rFonts w:hint="eastAsia" w:ascii="仿宋_GB2312" w:hAnsi="华文中宋" w:eastAsia="仿宋_GB2312" w:cs="仿宋_GB2312"/>
          <w:color w:val="000000"/>
          <w:sz w:val="32"/>
          <w:szCs w:val="32"/>
          <w:lang w:val="en-US" w:eastAsia="zh-CN"/>
        </w:rPr>
        <w:t>滕州微山湖湿地管委会</w:t>
      </w:r>
    </w:p>
    <w:tbl>
      <w:tblPr>
        <w:tblStyle w:val="4"/>
        <w:tblW w:w="140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1"/>
        <w:gridCol w:w="3883"/>
        <w:gridCol w:w="6288"/>
        <w:gridCol w:w="992"/>
        <w:gridCol w:w="2052"/>
      </w:tblGrid>
      <w:tr w14:paraId="3F07FB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881" w:type="dxa"/>
            <w:noWrap w:val="0"/>
            <w:vAlign w:val="center"/>
          </w:tcPr>
          <w:p w14:paraId="1125DD82">
            <w:pPr>
              <w:spacing w:line="400" w:lineRule="exact"/>
              <w:jc w:val="center"/>
              <w:rPr>
                <w:rFonts w:hint="eastAsia" w:ascii="黑体" w:hAnsi="华文中宋" w:eastAsia="黑体"/>
                <w:color w:val="000000"/>
                <w:sz w:val="28"/>
                <w:szCs w:val="28"/>
              </w:rPr>
            </w:pPr>
            <w:r>
              <w:rPr>
                <w:rFonts w:hint="eastAsia" w:ascii="黑体" w:hAnsi="华文中宋" w:eastAsia="黑体" w:cs="黑体"/>
                <w:color w:val="000000"/>
                <w:sz w:val="28"/>
                <w:szCs w:val="28"/>
              </w:rPr>
              <w:t>序号</w:t>
            </w:r>
          </w:p>
        </w:tc>
        <w:tc>
          <w:tcPr>
            <w:tcW w:w="3883" w:type="dxa"/>
            <w:noWrap w:val="0"/>
            <w:vAlign w:val="center"/>
          </w:tcPr>
          <w:p w14:paraId="4338B063">
            <w:pPr>
              <w:spacing w:line="400" w:lineRule="exact"/>
              <w:jc w:val="center"/>
              <w:rPr>
                <w:rFonts w:ascii="黑体" w:hAnsi="华文中宋" w:eastAsia="黑体"/>
                <w:color w:val="000000"/>
                <w:sz w:val="28"/>
                <w:szCs w:val="28"/>
              </w:rPr>
            </w:pPr>
            <w:r>
              <w:rPr>
                <w:rFonts w:hint="eastAsia" w:ascii="黑体" w:hAnsi="华文中宋" w:eastAsia="黑体" w:cs="黑体"/>
                <w:color w:val="000000"/>
                <w:sz w:val="28"/>
                <w:szCs w:val="28"/>
              </w:rPr>
              <w:t>任务目标</w:t>
            </w:r>
          </w:p>
        </w:tc>
        <w:tc>
          <w:tcPr>
            <w:tcW w:w="6288" w:type="dxa"/>
            <w:noWrap w:val="0"/>
            <w:vAlign w:val="center"/>
          </w:tcPr>
          <w:p w14:paraId="543E6F39">
            <w:pPr>
              <w:spacing w:line="400" w:lineRule="exact"/>
              <w:ind w:left="166" w:leftChars="79"/>
              <w:jc w:val="center"/>
              <w:rPr>
                <w:rFonts w:ascii="黑体" w:hAnsi="华文中宋" w:eastAsia="黑体"/>
                <w:color w:val="000000"/>
                <w:sz w:val="28"/>
                <w:szCs w:val="28"/>
              </w:rPr>
            </w:pPr>
            <w:r>
              <w:rPr>
                <w:rFonts w:hint="eastAsia" w:ascii="黑体" w:hAnsi="华文中宋" w:eastAsia="黑体" w:cs="黑体"/>
                <w:color w:val="000000"/>
                <w:sz w:val="28"/>
                <w:szCs w:val="28"/>
              </w:rPr>
              <w:t>进展情况</w:t>
            </w:r>
          </w:p>
        </w:tc>
        <w:tc>
          <w:tcPr>
            <w:tcW w:w="992" w:type="dxa"/>
            <w:noWrap w:val="0"/>
            <w:vAlign w:val="center"/>
          </w:tcPr>
          <w:p w14:paraId="702CB4CD">
            <w:pPr>
              <w:spacing w:line="400" w:lineRule="exact"/>
              <w:ind w:left="166" w:leftChars="79"/>
              <w:jc w:val="center"/>
              <w:rPr>
                <w:rFonts w:hint="eastAsia" w:ascii="黑体" w:hAnsi="华文中宋" w:eastAsia="黑体" w:cs="黑体"/>
                <w:color w:val="000000"/>
                <w:sz w:val="28"/>
                <w:szCs w:val="28"/>
              </w:rPr>
            </w:pPr>
            <w:r>
              <w:rPr>
                <w:rFonts w:hint="eastAsia" w:ascii="黑体" w:hAnsi="华文中宋" w:eastAsia="黑体" w:cs="黑体"/>
                <w:color w:val="000000"/>
                <w:sz w:val="28"/>
                <w:szCs w:val="28"/>
              </w:rPr>
              <w:t>存在问题</w:t>
            </w:r>
          </w:p>
        </w:tc>
        <w:tc>
          <w:tcPr>
            <w:tcW w:w="2052" w:type="dxa"/>
            <w:noWrap w:val="0"/>
            <w:vAlign w:val="center"/>
          </w:tcPr>
          <w:p w14:paraId="3069A86B">
            <w:pPr>
              <w:spacing w:line="400" w:lineRule="exact"/>
              <w:ind w:left="166" w:leftChars="79"/>
              <w:jc w:val="center"/>
              <w:rPr>
                <w:rFonts w:hint="eastAsia" w:ascii="黑体" w:hAnsi="华文中宋" w:eastAsia="黑体" w:cs="黑体"/>
                <w:color w:val="000000"/>
                <w:sz w:val="28"/>
                <w:szCs w:val="28"/>
              </w:rPr>
            </w:pPr>
            <w:r>
              <w:rPr>
                <w:rFonts w:hint="eastAsia" w:ascii="黑体" w:hAnsi="华文中宋" w:eastAsia="黑体" w:cs="黑体"/>
                <w:color w:val="000000"/>
                <w:sz w:val="28"/>
                <w:szCs w:val="28"/>
              </w:rPr>
              <w:t>进度标识</w:t>
            </w:r>
          </w:p>
          <w:p w14:paraId="75ADB47B">
            <w:pPr>
              <w:spacing w:line="400" w:lineRule="exact"/>
              <w:ind w:left="166" w:leftChars="79"/>
              <w:jc w:val="center"/>
              <w:rPr>
                <w:rFonts w:hint="eastAsia" w:ascii="黑体" w:hAnsi="华文中宋" w:eastAsia="仿宋_GB2312" w:cs="黑体"/>
                <w:color w:val="000000"/>
                <w:sz w:val="28"/>
                <w:szCs w:val="2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snapToGrid w:val="0"/>
                <w:kern w:val="0"/>
                <w:sz w:val="18"/>
                <w:szCs w:val="18"/>
              </w:rPr>
              <w:t>√完成或基本完成，↑快，→正常，↓慢，○无进展）</w:t>
            </w:r>
          </w:p>
        </w:tc>
      </w:tr>
      <w:tr w14:paraId="762528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70" w:hRule="atLeast"/>
          <w:jc w:val="center"/>
        </w:trPr>
        <w:tc>
          <w:tcPr>
            <w:tcW w:w="881" w:type="dxa"/>
            <w:noWrap w:val="0"/>
            <w:vAlign w:val="center"/>
          </w:tcPr>
          <w:p w14:paraId="4912E8AD">
            <w:pPr>
              <w:spacing w:line="600" w:lineRule="exact"/>
              <w:jc w:val="center"/>
              <w:rPr>
                <w:rFonts w:hint="default" w:ascii="仿宋_GB2312" w:hAnsi="华文中宋" w:eastAsia="仿宋_GB2312"/>
                <w:color w:val="000000"/>
                <w:lang w:val="en-US" w:eastAsia="zh-CN"/>
              </w:rPr>
            </w:pPr>
            <w:r>
              <w:rPr>
                <w:rFonts w:hint="eastAsia" w:ascii="仿宋_GB2312" w:hAnsi="华文中宋" w:eastAsia="仿宋_GB2312"/>
                <w:color w:val="000000"/>
                <w:lang w:val="en-US" w:eastAsia="zh-CN"/>
              </w:rPr>
              <w:t>109</w:t>
            </w:r>
          </w:p>
        </w:tc>
        <w:tc>
          <w:tcPr>
            <w:tcW w:w="3883" w:type="dxa"/>
            <w:noWrap w:val="0"/>
            <w:vAlign w:val="center"/>
          </w:tcPr>
          <w:p w14:paraId="6AD822F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仿宋_GB2312" w:hAnsi="华文中宋" w:eastAsia="仿宋_GB2312"/>
                <w:color w:val="000000"/>
              </w:rPr>
            </w:pPr>
            <w:r>
              <w:rPr>
                <w:rFonts w:hint="eastAsia" w:ascii="仿宋_GB2312" w:hAnsi="仿宋_GB2312" w:eastAsia="仿宋_GB2312" w:cs="仿宋_GB2312"/>
              </w:rPr>
              <w:t>深入开展文化惠民演出、“送戏送影下乡”等文化惠民活动，深度挖掘传承墨子鲁班文化，高质量举办好第二十一届微山湖湿地红荷节、第六届鲁班文化节、第八届滕州书展等节会活动，持续打造滕州特色文化品牌。</w:t>
            </w:r>
          </w:p>
        </w:tc>
        <w:tc>
          <w:tcPr>
            <w:tcW w:w="6288" w:type="dxa"/>
            <w:noWrap w:val="0"/>
            <w:vAlign w:val="center"/>
          </w:tcPr>
          <w:p w14:paraId="51A98E6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default" w:ascii="仿宋_GB2312" w:hAnsi="华文中宋" w:eastAsia="仿宋_GB2312"/>
                <w:color w:val="000000"/>
                <w:lang w:val="en-US" w:eastAsia="zh-CN"/>
              </w:rPr>
            </w:pPr>
            <w:r>
              <w:rPr>
                <w:rFonts w:hint="eastAsia" w:ascii="仿宋_GB2312" w:hAnsi="仿宋_GB2312" w:eastAsia="仿宋_GB2312" w:cs="仿宋_GB2312"/>
                <w:lang w:val="en-US" w:eastAsia="zh-CN"/>
              </w:rPr>
              <w:t>8月15日-17日在龙泉文化广场成功举办“红荷之夜”乡村好时节·滕州微山湖红荷湿地文化旅游季文化惠民综艺文艺演出及滕州市广场舞大赛，8月17日举办了“骑聚善城 乐享生活”2024滕州汽车机车旅游大会，为市民奉献了一场精彩的文旅盛宴。</w:t>
            </w:r>
          </w:p>
        </w:tc>
        <w:tc>
          <w:tcPr>
            <w:tcW w:w="992" w:type="dxa"/>
            <w:noWrap w:val="0"/>
            <w:vAlign w:val="center"/>
          </w:tcPr>
          <w:p w14:paraId="6630D738">
            <w:pPr>
              <w:spacing w:line="600" w:lineRule="exact"/>
              <w:jc w:val="center"/>
              <w:rPr>
                <w:rFonts w:hint="eastAsia" w:ascii="仿宋_GB2312" w:hAnsi="华文中宋" w:eastAsia="仿宋_GB2312"/>
                <w:color w:val="000000"/>
                <w:lang w:val="en-US" w:eastAsia="zh-CN"/>
              </w:rPr>
            </w:pPr>
            <w:r>
              <w:rPr>
                <w:rFonts w:hint="eastAsia" w:ascii="仿宋_GB2312" w:hAnsi="华文中宋" w:eastAsia="仿宋_GB2312"/>
                <w:color w:val="000000"/>
                <w:lang w:val="en-US" w:eastAsia="zh-CN"/>
              </w:rPr>
              <w:t>无</w:t>
            </w:r>
          </w:p>
        </w:tc>
        <w:tc>
          <w:tcPr>
            <w:tcW w:w="2052" w:type="dxa"/>
            <w:noWrap w:val="0"/>
            <w:vAlign w:val="center"/>
          </w:tcPr>
          <w:p w14:paraId="42B535BB">
            <w:pPr>
              <w:spacing w:line="600" w:lineRule="exact"/>
              <w:jc w:val="center"/>
              <w:rPr>
                <w:rFonts w:ascii="仿宋_GB2312" w:hAnsi="华文中宋" w:eastAsia="仿宋_GB2312"/>
                <w:color w:val="000000"/>
              </w:rPr>
            </w:pPr>
            <w:r>
              <w:rPr>
                <w:rFonts w:hint="eastAsia" w:ascii="仿宋_GB2312" w:hAnsi="仿宋_GB2312" w:eastAsia="仿宋_GB2312" w:cs="仿宋_GB2312"/>
                <w:snapToGrid w:val="0"/>
                <w:kern w:val="0"/>
                <w:sz w:val="18"/>
                <w:szCs w:val="18"/>
              </w:rPr>
              <w:t>→正常</w:t>
            </w:r>
          </w:p>
        </w:tc>
      </w:tr>
      <w:tr w14:paraId="334B43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1" w:hRule="atLeast"/>
          <w:jc w:val="center"/>
        </w:trPr>
        <w:tc>
          <w:tcPr>
            <w:tcW w:w="881" w:type="dxa"/>
            <w:noWrap w:val="0"/>
            <w:vAlign w:val="center"/>
          </w:tcPr>
          <w:p w14:paraId="61E95DBB">
            <w:pPr>
              <w:spacing w:line="600" w:lineRule="exact"/>
              <w:jc w:val="center"/>
              <w:rPr>
                <w:rFonts w:hint="default" w:ascii="仿宋_GB2312" w:hAnsi="华文中宋" w:eastAsia="仿宋_GB2312"/>
                <w:color w:val="000000"/>
                <w:lang w:val="en-US" w:eastAsia="zh-CN"/>
              </w:rPr>
            </w:pPr>
            <w:r>
              <w:rPr>
                <w:rFonts w:hint="eastAsia" w:ascii="仿宋_GB2312" w:hAnsi="华文中宋" w:eastAsia="仿宋_GB2312"/>
                <w:color w:val="000000"/>
                <w:lang w:val="en-US" w:eastAsia="zh-CN"/>
              </w:rPr>
              <w:t>110</w:t>
            </w:r>
          </w:p>
        </w:tc>
        <w:tc>
          <w:tcPr>
            <w:tcW w:w="3883" w:type="dxa"/>
            <w:noWrap w:val="0"/>
            <w:vAlign w:val="center"/>
          </w:tcPr>
          <w:p w14:paraId="7CE03FE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仿宋_GB2312" w:hAnsi="华文中宋" w:eastAsia="仿宋_GB2312"/>
                <w:color w:val="000000"/>
              </w:rPr>
            </w:pPr>
            <w:r>
              <w:rPr>
                <w:rFonts w:hint="eastAsia" w:ascii="仿宋_GB2312" w:hAnsi="仿宋_GB2312" w:eastAsia="仿宋_GB2312" w:cs="仿宋_GB2312"/>
              </w:rPr>
              <w:t>坚持以墨子文化“招手”、生态休闲“留人”，抓住红荷湿地创建国家级旅游度假区、墨子科技文化城创建5A级景区两大龙头，</w:t>
            </w:r>
            <w:bookmarkStart w:id="0" w:name="_GoBack"/>
            <w:bookmarkEnd w:id="0"/>
            <w:r>
              <w:rPr>
                <w:rFonts w:hint="eastAsia" w:ascii="仿宋_GB2312" w:hAnsi="仿宋_GB2312" w:eastAsia="仿宋_GB2312" w:cs="仿宋_GB2312"/>
              </w:rPr>
              <w:t>持续做好“一山一水一城”联动发展，全力争创全省文旅强县。实施鲁中南文物保护与考古研究中心等项目，高标准规划建设中国古代科技文化博物馆。</w:t>
            </w:r>
          </w:p>
        </w:tc>
        <w:tc>
          <w:tcPr>
            <w:tcW w:w="6288" w:type="dxa"/>
            <w:noWrap w:val="0"/>
            <w:vAlign w:val="center"/>
          </w:tcPr>
          <w:p w14:paraId="7092145B">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pPr>
            <w:r>
              <w:rPr>
                <w:rFonts w:hint="eastAsia" w:ascii="仿宋_GB2312" w:hAnsi="仿宋_GB2312" w:eastAsia="仿宋_GB2312" w:cs="仿宋_GB2312"/>
                <w:b/>
                <w:bCs/>
                <w:color w:val="auto"/>
                <w:sz w:val="24"/>
                <w:szCs w:val="24"/>
                <w:lang w:val="en-US" w:eastAsia="zh-CN"/>
              </w:rPr>
              <w:t>微山湖红荷湿地省级旅游度假区创建：</w:t>
            </w:r>
            <w:r>
              <w:rPr>
                <w:rFonts w:hint="eastAsia" w:ascii="仿宋_GB2312" w:hAnsi="仿宋_GB2312" w:eastAsia="仿宋_GB2312" w:cs="仿宋_GB2312"/>
                <w:lang w:val="en-US" w:eastAsia="zh-CN"/>
              </w:rPr>
              <w:t>1.将调整之后的方案和具体答复意见，以公函形式经由枣庄市文旅局向相关职能部门对接。2.完成枣菏高速公路11块交通导引标识牌、S104济微路两处度假区标识牌版面更新安装。3.修改完善解说词撰写、标识牌解说及讲解员培训试讲工作。</w:t>
            </w:r>
          </w:p>
        </w:tc>
        <w:tc>
          <w:tcPr>
            <w:tcW w:w="992" w:type="dxa"/>
            <w:noWrap w:val="0"/>
            <w:vAlign w:val="center"/>
          </w:tcPr>
          <w:p w14:paraId="0DAA964E">
            <w:pPr>
              <w:spacing w:line="600" w:lineRule="exact"/>
              <w:jc w:val="center"/>
              <w:rPr>
                <w:rFonts w:hint="eastAsia" w:ascii="仿宋_GB2312" w:hAnsi="华文中宋" w:eastAsia="仿宋_GB2312"/>
                <w:color w:val="000000"/>
                <w:lang w:val="en-US" w:eastAsia="zh-CN"/>
              </w:rPr>
            </w:pPr>
            <w:r>
              <w:rPr>
                <w:rFonts w:hint="eastAsia" w:ascii="仿宋_GB2312" w:hAnsi="华文中宋" w:eastAsia="仿宋_GB2312"/>
                <w:color w:val="000000"/>
                <w:lang w:val="en-US" w:eastAsia="zh-CN"/>
              </w:rPr>
              <w:t>无</w:t>
            </w:r>
          </w:p>
        </w:tc>
        <w:tc>
          <w:tcPr>
            <w:tcW w:w="2052" w:type="dxa"/>
            <w:noWrap w:val="0"/>
            <w:vAlign w:val="center"/>
          </w:tcPr>
          <w:p w14:paraId="25201AEE">
            <w:pPr>
              <w:spacing w:line="600" w:lineRule="exact"/>
              <w:jc w:val="center"/>
              <w:rPr>
                <w:rFonts w:ascii="仿宋_GB2312" w:hAnsi="华文中宋" w:eastAsia="仿宋_GB2312"/>
                <w:color w:val="000000"/>
              </w:rPr>
            </w:pPr>
            <w:r>
              <w:rPr>
                <w:rFonts w:hint="eastAsia" w:ascii="仿宋_GB2312" w:hAnsi="仿宋_GB2312" w:eastAsia="仿宋_GB2312" w:cs="仿宋_GB2312"/>
                <w:snapToGrid w:val="0"/>
                <w:kern w:val="0"/>
                <w:sz w:val="18"/>
                <w:szCs w:val="18"/>
              </w:rPr>
              <w:t>→正常</w:t>
            </w:r>
          </w:p>
        </w:tc>
      </w:tr>
    </w:tbl>
    <w:p w14:paraId="6444B0E2">
      <w:pPr>
        <w:spacing w:line="400" w:lineRule="exact"/>
        <w:ind w:firstLine="630" w:firstLineChars="30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N2ZlZTM4MmZjYmViMjcxYTVkNGJlZTdiYzJlNDYifQ=="/>
  </w:docVars>
  <w:rsids>
    <w:rsidRoot w:val="00000000"/>
    <w:rsid w:val="05161A1A"/>
    <w:rsid w:val="104A2CCA"/>
    <w:rsid w:val="1CAA2406"/>
    <w:rsid w:val="271E783C"/>
    <w:rsid w:val="39865F2C"/>
    <w:rsid w:val="3AC52E42"/>
    <w:rsid w:val="43792A56"/>
    <w:rsid w:val="44882563"/>
    <w:rsid w:val="52501813"/>
    <w:rsid w:val="54EE67AC"/>
    <w:rsid w:val="58210FC5"/>
    <w:rsid w:val="602B756F"/>
    <w:rsid w:val="6DC3562B"/>
    <w:rsid w:val="6DF350A8"/>
    <w:rsid w:val="7328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style>
  <w:style w:type="paragraph" w:styleId="3">
    <w:name w:val="toc 1"/>
    <w:basedOn w:val="1"/>
    <w:next w:val="1"/>
    <w:qFormat/>
    <w:uiPriority w:val="99"/>
    <w:pPr>
      <w:spacing w:line="660" w:lineRule="exact"/>
      <w:ind w:firstLine="705"/>
    </w:pPr>
    <w:rPr>
      <w:rFonts w:ascii="??_GB2312" w:eastAsia="Times New Roman" w:cs="Calibri"/>
      <w:color w:val="00000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562</Words>
  <Characters>581</Characters>
  <Lines>0</Lines>
  <Paragraphs>0</Paragraphs>
  <TotalTime>0</TotalTime>
  <ScaleCrop>false</ScaleCrop>
  <LinksUpToDate>false</LinksUpToDate>
  <CharactersWithSpaces>582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2024-02-02T03:19:00Z</dcterms:created>
  <dc:creator>Administrator</dc:creator>
  <cp:lastModifiedBy>Administrator</cp:lastModifiedBy>
  <dcterms:modified xsi:type="dcterms:W3CDTF">2025-05-15T04:14:32Z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060D281504394A0EBA36BC60814F2B36_13</vt:lpwstr>
  </property>
  <property fmtid="{D5CDD505-2E9C-101B-9397-08002B2CF9AE}" pid="4" name="KSOTemplateDocerSaveRecord">
    <vt:lpwstr>eyJoZGlkIjoiZTg5MTRlZWY0YTUxM2Q0MGZhZWU4N2E3M2YxMjdhMmYifQ==</vt:lpwstr>
  </property>
</Properties>
</file>