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A01BE">
      <w:pPr>
        <w:spacing w:line="560" w:lineRule="exact"/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  <w:u w:val="single"/>
        </w:rPr>
      </w:pPr>
      <w:r>
        <w:rPr>
          <w:rFonts w:hint="eastAsia" w:ascii="黑体" w:hAnsi="华文中宋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华文中宋" w:eastAsia="黑体" w:cs="黑体"/>
          <w:color w:val="000000"/>
          <w:kern w:val="0"/>
          <w:sz w:val="32"/>
          <w:szCs w:val="32"/>
        </w:rPr>
        <w:t>3</w:t>
      </w:r>
    </w:p>
    <w:p w14:paraId="57462BC0">
      <w:pPr>
        <w:spacing w:line="600" w:lineRule="exact"/>
        <w:ind w:firstLine="870"/>
        <w:jc w:val="center"/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  <w:lang w:val="en-US" w:eastAsia="zh-CN"/>
        </w:rPr>
        <w:t>第二季度</w:t>
      </w: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市委经济工作会议及《政府工作报告》</w:t>
      </w:r>
    </w:p>
    <w:p w14:paraId="3C3DEF7F">
      <w:pPr>
        <w:spacing w:line="600" w:lineRule="exact"/>
        <w:ind w:firstLine="870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任务进展情况一览表</w:t>
      </w:r>
    </w:p>
    <w:p w14:paraId="35651E62">
      <w:pPr>
        <w:spacing w:line="320" w:lineRule="exact"/>
        <w:ind w:firstLine="868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</w:p>
    <w:p w14:paraId="30D86230">
      <w:pPr>
        <w:spacing w:line="600" w:lineRule="exact"/>
        <w:ind w:firstLine="320" w:firstLineChars="100"/>
        <w:rPr>
          <w:rFonts w:hint="default" w:ascii="仿宋_GB2312" w:hAnsi="华文中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仿宋_GB2312"/>
          <w:color w:val="000000"/>
          <w:sz w:val="32"/>
          <w:szCs w:val="32"/>
        </w:rPr>
        <w:t>填报单位（公章）：</w:t>
      </w:r>
      <w:r>
        <w:rPr>
          <w:rFonts w:hint="eastAsia" w:ascii="仿宋_GB2312" w:hAnsi="华文中宋" w:eastAsia="仿宋_GB2312" w:cs="仿宋_GB2312"/>
          <w:color w:val="000000"/>
          <w:sz w:val="32"/>
          <w:szCs w:val="32"/>
          <w:lang w:val="en-US" w:eastAsia="zh-CN"/>
        </w:rPr>
        <w:t>滕州微山湖湿地管委会</w:t>
      </w:r>
    </w:p>
    <w:tbl>
      <w:tblPr>
        <w:tblStyle w:val="4"/>
        <w:tblW w:w="140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883"/>
        <w:gridCol w:w="6288"/>
        <w:gridCol w:w="992"/>
        <w:gridCol w:w="2052"/>
      </w:tblGrid>
      <w:tr w14:paraId="26BC4A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81" w:type="dxa"/>
            <w:noWrap w:val="0"/>
            <w:vAlign w:val="center"/>
          </w:tcPr>
          <w:p w14:paraId="7025DC97">
            <w:pPr>
              <w:spacing w:line="400" w:lineRule="exact"/>
              <w:jc w:val="center"/>
              <w:rPr>
                <w:rFonts w:hint="eastAsia" w:ascii="黑体" w:hAnsi="华文中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83" w:type="dxa"/>
            <w:noWrap w:val="0"/>
            <w:vAlign w:val="center"/>
          </w:tcPr>
          <w:p w14:paraId="0E274CC8">
            <w:pPr>
              <w:spacing w:line="400" w:lineRule="exact"/>
              <w:jc w:val="center"/>
              <w:rPr>
                <w:rFonts w:ascii="黑体" w:hAnsi="华文中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  <w:t>任务目标</w:t>
            </w:r>
          </w:p>
        </w:tc>
        <w:tc>
          <w:tcPr>
            <w:tcW w:w="6288" w:type="dxa"/>
            <w:noWrap w:val="0"/>
            <w:vAlign w:val="center"/>
          </w:tcPr>
          <w:p w14:paraId="543C74AF">
            <w:pPr>
              <w:spacing w:line="400" w:lineRule="exact"/>
              <w:ind w:left="166" w:leftChars="79"/>
              <w:jc w:val="center"/>
              <w:rPr>
                <w:rFonts w:ascii="黑体" w:hAnsi="华文中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  <w:t>进展情况</w:t>
            </w:r>
          </w:p>
        </w:tc>
        <w:tc>
          <w:tcPr>
            <w:tcW w:w="992" w:type="dxa"/>
            <w:noWrap w:val="0"/>
            <w:vAlign w:val="center"/>
          </w:tcPr>
          <w:p w14:paraId="209B90E0">
            <w:pPr>
              <w:spacing w:line="400" w:lineRule="exact"/>
              <w:ind w:left="166" w:leftChars="79"/>
              <w:jc w:val="center"/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  <w:t>存在问题</w:t>
            </w:r>
          </w:p>
        </w:tc>
        <w:tc>
          <w:tcPr>
            <w:tcW w:w="2052" w:type="dxa"/>
            <w:noWrap w:val="0"/>
            <w:vAlign w:val="center"/>
          </w:tcPr>
          <w:p w14:paraId="5E8D6300">
            <w:pPr>
              <w:spacing w:line="400" w:lineRule="exact"/>
              <w:ind w:left="166" w:leftChars="79"/>
              <w:jc w:val="center"/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  <w:t>进度标识</w:t>
            </w:r>
          </w:p>
          <w:p w14:paraId="321DF3BE">
            <w:pPr>
              <w:spacing w:line="400" w:lineRule="exact"/>
              <w:ind w:left="166" w:leftChars="79"/>
              <w:jc w:val="center"/>
              <w:rPr>
                <w:rFonts w:hint="eastAsia" w:ascii="黑体" w:hAnsi="华文中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8"/>
                <w:szCs w:val="18"/>
              </w:rPr>
              <w:t>√完成或基本完成，↑快，→正常，↓慢，○无进展）</w:t>
            </w:r>
          </w:p>
        </w:tc>
      </w:tr>
      <w:tr w14:paraId="24FC5F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881" w:type="dxa"/>
            <w:noWrap w:val="0"/>
            <w:vAlign w:val="center"/>
          </w:tcPr>
          <w:p w14:paraId="16172235">
            <w:pPr>
              <w:spacing w:line="600" w:lineRule="exact"/>
              <w:jc w:val="center"/>
              <w:rPr>
                <w:rFonts w:hint="default" w:ascii="仿宋_GB2312" w:hAnsi="华文中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  <w:t>109</w:t>
            </w:r>
          </w:p>
        </w:tc>
        <w:tc>
          <w:tcPr>
            <w:tcW w:w="3883" w:type="dxa"/>
            <w:noWrap w:val="0"/>
            <w:vAlign w:val="center"/>
          </w:tcPr>
          <w:p w14:paraId="43F79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ascii="仿宋_GB2312" w:hAnsi="华文中宋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</w:rPr>
              <w:t>深入开展文化惠民演出、“送戏送影下乡”等文化惠民活动，深度挖掘传承墨子鲁班文化，高质量举办好第二十一届微山湖湿地红荷节、第六届鲁班文化节、第八届滕州书展等节会活动，持续打造滕州特色文化品牌。</w:t>
            </w:r>
          </w:p>
        </w:tc>
        <w:tc>
          <w:tcPr>
            <w:tcW w:w="6288" w:type="dxa"/>
            <w:noWrap w:val="0"/>
            <w:vAlign w:val="center"/>
          </w:tcPr>
          <w:p w14:paraId="6BA88C39">
            <w:pPr>
              <w:spacing w:line="600" w:lineRule="exact"/>
              <w:ind w:firstLine="420" w:firstLineChars="200"/>
              <w:jc w:val="left"/>
              <w:rPr>
                <w:rFonts w:hint="default" w:ascii="仿宋_GB2312" w:hAnsi="华文中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5月27日召开了</w:t>
            </w:r>
            <w:r>
              <w:rPr>
                <w:rFonts w:hint="eastAsia" w:ascii="仿宋_GB2312" w:hAnsi="仿宋_GB2312" w:eastAsia="仿宋_GB2312" w:cs="仿宋_GB2312"/>
              </w:rPr>
              <w:t>第二十一届微山湖湿地红荷节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筹备座谈会，</w:t>
            </w:r>
            <w:r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  <w:t>起草</w:t>
            </w:r>
            <w:r>
              <w:rPr>
                <w:rFonts w:hint="eastAsia" w:ascii="仿宋_GB2312" w:hAnsi="仿宋_GB2312" w:eastAsia="仿宋_GB2312" w:cs="仿宋_GB2312"/>
              </w:rPr>
              <w:t>第二十一届微山湖湿地红荷节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活动方案（讨论稿）</w:t>
            </w:r>
          </w:p>
        </w:tc>
        <w:tc>
          <w:tcPr>
            <w:tcW w:w="992" w:type="dxa"/>
            <w:noWrap w:val="0"/>
            <w:vAlign w:val="center"/>
          </w:tcPr>
          <w:p w14:paraId="29A7BB6D"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  <w:t>无</w:t>
            </w:r>
          </w:p>
        </w:tc>
        <w:tc>
          <w:tcPr>
            <w:tcW w:w="2052" w:type="dxa"/>
            <w:noWrap w:val="0"/>
            <w:vAlign w:val="center"/>
          </w:tcPr>
          <w:p w14:paraId="70D1059B">
            <w:pPr>
              <w:spacing w:line="600" w:lineRule="exact"/>
              <w:jc w:val="center"/>
              <w:rPr>
                <w:rFonts w:ascii="仿宋_GB2312" w:hAnsi="华文中宋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8"/>
                <w:szCs w:val="18"/>
              </w:rPr>
              <w:t>→正常</w:t>
            </w:r>
          </w:p>
        </w:tc>
      </w:tr>
      <w:tr w14:paraId="1BFC2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881" w:type="dxa"/>
            <w:noWrap w:val="0"/>
            <w:vAlign w:val="center"/>
          </w:tcPr>
          <w:p w14:paraId="722C39CF">
            <w:pPr>
              <w:spacing w:line="600" w:lineRule="exact"/>
              <w:jc w:val="center"/>
              <w:rPr>
                <w:rFonts w:hint="default" w:ascii="仿宋_GB2312" w:hAnsi="华文中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  <w:t>110</w:t>
            </w:r>
          </w:p>
        </w:tc>
        <w:tc>
          <w:tcPr>
            <w:tcW w:w="3883" w:type="dxa"/>
            <w:noWrap w:val="0"/>
            <w:vAlign w:val="center"/>
          </w:tcPr>
          <w:p w14:paraId="1546A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ascii="仿宋_GB2312" w:hAnsi="华文中宋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</w:rPr>
              <w:t>坚持以墨子文化“招手”、生态休闲“留人”，抓住红荷湿地创建国家级旅游度假区、墨子科技文化城创建5A级景区两大龙头，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</w:rPr>
              <w:t>持续做好“一山一水一城”联动发展，全力争创全省文旅强县。实施鲁中南文物保护与考古研究中心等项目，高标准规划建设中国古代科技文化博物馆。</w:t>
            </w:r>
          </w:p>
        </w:tc>
        <w:tc>
          <w:tcPr>
            <w:tcW w:w="6288" w:type="dxa"/>
            <w:noWrap w:val="0"/>
            <w:vAlign w:val="center"/>
          </w:tcPr>
          <w:p w14:paraId="0B7BE6C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微山湖红荷湿地省级旅游度假区创建：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正在编制系列省级旅游度假区申报材料。目前，两个核心性综合性报告书（自评报告书、申请报告书）以及细则1和细则2图文汇编已发到省旅游规划设计院修改完善。</w:t>
            </w:r>
          </w:p>
          <w:p w14:paraId="149CB8B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“荷乡西迭”精品民宿项目：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12大民宿院落和“乡村会客厅”已全面竣工并投入运营，下一步将在提质增效上下功夫，不断完善发展民宿经济。</w:t>
            </w:r>
          </w:p>
          <w:p w14:paraId="6EC9A6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“莲屿下王”休闲业态项目：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广场及旅游厕所、码头和水景建设改造提升全面完成，“莲屿驿站”“荷香食苑”“半日茶社”以及“渔村过大年”“渔家婚俗馆”“微湖故事汇”三大民俗馆在内的所有业态已全部实现开馆运营。</w:t>
            </w:r>
          </w:p>
        </w:tc>
        <w:tc>
          <w:tcPr>
            <w:tcW w:w="992" w:type="dxa"/>
            <w:noWrap w:val="0"/>
            <w:vAlign w:val="center"/>
          </w:tcPr>
          <w:p w14:paraId="641A667B"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  <w:t>无</w:t>
            </w:r>
          </w:p>
        </w:tc>
        <w:tc>
          <w:tcPr>
            <w:tcW w:w="2052" w:type="dxa"/>
            <w:noWrap w:val="0"/>
            <w:vAlign w:val="center"/>
          </w:tcPr>
          <w:p w14:paraId="7EC1446C">
            <w:pPr>
              <w:spacing w:line="600" w:lineRule="exact"/>
              <w:jc w:val="center"/>
              <w:rPr>
                <w:rFonts w:ascii="仿宋_GB2312" w:hAnsi="华文中宋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8"/>
                <w:szCs w:val="18"/>
              </w:rPr>
              <w:t>→正常</w:t>
            </w:r>
          </w:p>
        </w:tc>
      </w:tr>
    </w:tbl>
    <w:p w14:paraId="65F26D71">
      <w:pPr>
        <w:spacing w:line="400" w:lineRule="exact"/>
        <w:ind w:firstLine="840" w:firstLineChars="300"/>
      </w:pPr>
      <w:r>
        <w:rPr>
          <w:rFonts w:hint="eastAsia" w:ascii="仿宋_GB2312" w:hAnsi="华文中宋" w:eastAsia="仿宋_GB2312" w:cs="仿宋_GB2312"/>
          <w:color w:val="000000"/>
          <w:sz w:val="28"/>
          <w:szCs w:val="28"/>
        </w:rPr>
        <w:t>联络员姓名：</w:t>
      </w:r>
      <w:r>
        <w:rPr>
          <w:rFonts w:hint="eastAsia" w:ascii="仿宋_GB2312" w:hAnsi="华文中宋" w:eastAsia="仿宋_GB2312" w:cs="仿宋_GB2312"/>
          <w:color w:val="000000"/>
          <w:sz w:val="28"/>
          <w:szCs w:val="28"/>
          <w:lang w:val="en-US" w:eastAsia="zh-CN"/>
        </w:rPr>
        <w:t>李娅</w:t>
      </w:r>
      <w:r>
        <w:rPr>
          <w:rFonts w:hint="eastAsia" w:ascii="仿宋_GB2312" w:hAnsi="华文中宋" w:eastAsia="仿宋_GB2312" w:cs="仿宋_GB2312"/>
          <w:color w:val="000000"/>
          <w:sz w:val="28"/>
          <w:szCs w:val="28"/>
        </w:rPr>
        <w:t>　　　　　　　办公电话：</w:t>
      </w:r>
      <w:r>
        <w:rPr>
          <w:rFonts w:hint="eastAsia" w:ascii="仿宋_GB2312" w:hAnsi="华文中宋" w:eastAsia="仿宋_GB2312" w:cs="仿宋_GB2312"/>
          <w:color w:val="000000"/>
          <w:sz w:val="28"/>
          <w:szCs w:val="28"/>
          <w:lang w:val="en-US" w:eastAsia="zh-CN"/>
        </w:rPr>
        <w:t>0632-2610567</w:t>
      </w:r>
      <w:r>
        <w:rPr>
          <w:rFonts w:hint="eastAsia" w:ascii="仿宋_GB2312" w:hAnsi="华文中宋" w:eastAsia="仿宋_GB2312" w:cs="仿宋_GB2312"/>
          <w:color w:val="000000"/>
          <w:sz w:val="28"/>
          <w:szCs w:val="28"/>
        </w:rPr>
        <w:t>　　　　　手机：</w:t>
      </w:r>
      <w:r>
        <w:rPr>
          <w:rFonts w:hint="eastAsia" w:ascii="仿宋_GB2312" w:hAnsi="华文中宋" w:eastAsia="仿宋_GB2312" w:cs="仿宋_GB2312"/>
          <w:color w:val="000000"/>
          <w:sz w:val="28"/>
          <w:szCs w:val="28"/>
          <w:lang w:val="en-US" w:eastAsia="zh-CN"/>
        </w:rPr>
        <w:t>18266257089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NGU4ZWRmODY0NjUxMWE4NmE5NmY5YmFkNWM0OWYifQ=="/>
  </w:docVars>
  <w:rsids>
    <w:rsidRoot w:val="00000000"/>
    <w:rsid w:val="104A2CCA"/>
    <w:rsid w:val="39865F2C"/>
    <w:rsid w:val="43792A56"/>
    <w:rsid w:val="44882563"/>
    <w:rsid w:val="55F83225"/>
    <w:rsid w:val="58210FC5"/>
    <w:rsid w:val="602B756F"/>
    <w:rsid w:val="6DF350A8"/>
    <w:rsid w:val="6F51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3">
    <w:name w:val="toc 1"/>
    <w:basedOn w:val="1"/>
    <w:next w:val="1"/>
    <w:qFormat/>
    <w:uiPriority w:val="99"/>
    <w:pPr>
      <w:spacing w:line="660" w:lineRule="exact"/>
      <w:ind w:firstLine="705"/>
    </w:pPr>
    <w:rPr>
      <w:rFonts w:ascii="??_GB2312" w:eastAsia="Times New Roman" w:cs="Calibri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686</Characters>
  <Lines>0</Lines>
  <Paragraphs>0</Paragraphs>
  <TotalTime>0</TotalTime>
  <ScaleCrop>false</ScaleCrop>
  <LinksUpToDate>false</LinksUpToDate>
  <CharactersWithSpaces>698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2024-02-02T03:19:00Z</dcterms:created>
  <dc:creator>Administrator</dc:creator>
  <cp:lastModifiedBy>Administrator</cp:lastModifiedBy>
  <dcterms:modified xsi:type="dcterms:W3CDTF">2025-05-15T04:13:32Z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7FD731B6DC9E4E6DA20AE269A7C783E0_12</vt:lpwstr>
  </property>
  <property fmtid="{D5CDD505-2E9C-101B-9397-08002B2CF9AE}" pid="4" name="KSOTemplateDocerSaveRecord">
    <vt:lpwstr>eyJoZGlkIjoiZTg5MTRlZWY0YTUxM2Q0MGZhZWU4N2E3M2YxMjdhMmYifQ==</vt:lpwstr>
  </property>
</Properties>
</file>