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spacing w:val="20"/>
          <w:szCs w:val="32"/>
        </w:rPr>
      </w:pPr>
      <w:r>
        <w:rPr>
          <w:rFonts w:hint="eastAsia" w:ascii="黑体" w:hAnsi="黑体" w:eastAsia="黑体"/>
          <w:spacing w:val="20"/>
          <w:szCs w:val="32"/>
        </w:rPr>
        <w:t>附件1</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滕州市人大代表建议承办表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3184"/>
        <w:gridCol w:w="26"/>
        <w:gridCol w:w="2078"/>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400" w:type="dxa"/>
            <w:vAlign w:val="center"/>
          </w:tcPr>
          <w:p>
            <w:pPr>
              <w:jc w:val="center"/>
              <w:rPr>
                <w:rFonts w:hint="eastAsia" w:ascii="仿宋" w:hAnsi="仿宋" w:eastAsia="仿宋"/>
                <w:spacing w:val="20"/>
                <w:szCs w:val="32"/>
              </w:rPr>
            </w:pPr>
            <w:r>
              <w:rPr>
                <w:rFonts w:hint="eastAsia" w:ascii="仿宋" w:hAnsi="仿宋" w:eastAsia="仿宋"/>
                <w:spacing w:val="20"/>
                <w:szCs w:val="32"/>
              </w:rPr>
              <w:t>案  由</w:t>
            </w:r>
          </w:p>
        </w:tc>
        <w:tc>
          <w:tcPr>
            <w:tcW w:w="12115" w:type="dxa"/>
            <w:gridSpan w:val="4"/>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spacing w:val="20"/>
                <w:szCs w:val="32"/>
                <w:lang w:eastAsia="zh-CN"/>
              </w:rPr>
            </w:pPr>
            <w:r>
              <w:rPr>
                <w:rFonts w:hint="eastAsia" w:ascii="仿宋" w:hAnsi="仿宋" w:eastAsia="仿宋"/>
                <w:spacing w:val="20"/>
                <w:szCs w:val="32"/>
                <w:lang w:eastAsia="zh-CN"/>
              </w:rPr>
              <w:t>关于进一步加快推动红荷湿地景区提档升级创新发展，助推滕州现代化强市建设的建议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pacing w:val="20"/>
                <w:szCs w:val="32"/>
              </w:rPr>
            </w:pPr>
            <w:r>
              <w:rPr>
                <w:rFonts w:hint="eastAsia" w:ascii="仿宋" w:hAnsi="仿宋" w:eastAsia="仿宋"/>
                <w:spacing w:val="20"/>
                <w:szCs w:val="32"/>
              </w:rPr>
              <w:t>提建议代表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pacing w:val="20"/>
                <w:szCs w:val="32"/>
              </w:rPr>
            </w:pPr>
            <w:r>
              <w:rPr>
                <w:rFonts w:hint="eastAsia" w:ascii="仿宋" w:hAnsi="仿宋" w:eastAsia="仿宋"/>
                <w:spacing w:val="20"/>
                <w:szCs w:val="32"/>
              </w:rPr>
              <w:t>单位姓名</w:t>
            </w:r>
          </w:p>
        </w:tc>
        <w:tc>
          <w:tcPr>
            <w:tcW w:w="12115" w:type="dxa"/>
            <w:gridSpan w:val="4"/>
            <w:vAlign w:val="center"/>
          </w:tcPr>
          <w:p>
            <w:pPr>
              <w:jc w:val="center"/>
              <w:rPr>
                <w:rFonts w:hint="default" w:ascii="仿宋" w:hAnsi="仿宋" w:eastAsia="仿宋"/>
                <w:spacing w:val="20"/>
                <w:szCs w:val="32"/>
                <w:lang w:val="en-US" w:eastAsia="zh-CN"/>
              </w:rPr>
            </w:pPr>
            <w:r>
              <w:rPr>
                <w:rFonts w:hint="eastAsia" w:ascii="仿宋" w:hAnsi="仿宋" w:eastAsia="仿宋"/>
                <w:spacing w:val="20"/>
                <w:szCs w:val="32"/>
                <w:lang w:eastAsia="zh-CN"/>
              </w:rPr>
              <w:t>微山湖湿地集团有限公司</w:t>
            </w:r>
            <w:r>
              <w:rPr>
                <w:rFonts w:hint="eastAsia" w:ascii="仿宋" w:hAnsi="仿宋" w:eastAsia="仿宋"/>
                <w:spacing w:val="20"/>
                <w:szCs w:val="32"/>
                <w:lang w:val="en-US" w:eastAsia="zh-CN"/>
              </w:rPr>
              <w:t xml:space="preserve"> 秦晓洁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2400" w:type="dxa"/>
            <w:vAlign w:val="center"/>
          </w:tcPr>
          <w:p>
            <w:pPr>
              <w:jc w:val="center"/>
              <w:rPr>
                <w:rFonts w:hint="eastAsia" w:ascii="仿宋" w:hAnsi="仿宋" w:eastAsia="仿宋"/>
                <w:spacing w:val="20"/>
                <w:szCs w:val="32"/>
              </w:rPr>
            </w:pPr>
            <w:r>
              <w:rPr>
                <w:rFonts w:hint="eastAsia" w:ascii="仿宋" w:hAnsi="仿宋" w:eastAsia="仿宋"/>
                <w:spacing w:val="20"/>
                <w:szCs w:val="32"/>
              </w:rPr>
              <w:t>承办单位</w:t>
            </w:r>
          </w:p>
        </w:tc>
        <w:tc>
          <w:tcPr>
            <w:tcW w:w="3210" w:type="dxa"/>
            <w:gridSpan w:val="2"/>
          </w:tcPr>
          <w:p>
            <w:pPr>
              <w:jc w:val="center"/>
              <w:rPr>
                <w:rFonts w:hint="eastAsia" w:ascii="仿宋" w:hAnsi="仿宋" w:eastAsia="仿宋"/>
                <w:spacing w:val="20"/>
                <w:szCs w:val="32"/>
                <w:lang w:eastAsia="zh-CN"/>
              </w:rPr>
            </w:pPr>
            <w:r>
              <w:rPr>
                <w:rFonts w:hint="eastAsia" w:ascii="仿宋" w:hAnsi="仿宋" w:eastAsia="仿宋"/>
                <w:spacing w:val="20"/>
                <w:szCs w:val="32"/>
                <w:lang w:eastAsia="zh-CN"/>
              </w:rPr>
              <w:t>滕州微山湖湿地管委会</w:t>
            </w:r>
          </w:p>
        </w:tc>
        <w:tc>
          <w:tcPr>
            <w:tcW w:w="2078" w:type="dxa"/>
            <w:vAlign w:val="center"/>
          </w:tcPr>
          <w:p>
            <w:pPr>
              <w:rPr>
                <w:rFonts w:hint="eastAsia" w:ascii="仿宋" w:hAnsi="仿宋" w:eastAsia="仿宋"/>
                <w:spacing w:val="20"/>
                <w:szCs w:val="32"/>
              </w:rPr>
            </w:pPr>
            <w:r>
              <w:rPr>
                <w:rFonts w:hint="eastAsia" w:ascii="仿宋" w:hAnsi="仿宋" w:eastAsia="仿宋"/>
                <w:spacing w:val="20"/>
                <w:szCs w:val="32"/>
              </w:rPr>
              <w:t>具体承办人</w:t>
            </w:r>
          </w:p>
        </w:tc>
        <w:tc>
          <w:tcPr>
            <w:tcW w:w="6827" w:type="dxa"/>
            <w:vAlign w:val="center"/>
          </w:tcPr>
          <w:p>
            <w:pPr>
              <w:jc w:val="center"/>
              <w:rPr>
                <w:rFonts w:hint="eastAsia" w:ascii="仿宋" w:hAnsi="仿宋" w:eastAsia="仿宋"/>
                <w:spacing w:val="20"/>
                <w:szCs w:val="32"/>
                <w:lang w:eastAsia="zh-CN"/>
              </w:rPr>
            </w:pPr>
            <w:r>
              <w:rPr>
                <w:rFonts w:hint="eastAsia" w:ascii="仿宋" w:hAnsi="仿宋" w:eastAsia="仿宋"/>
                <w:spacing w:val="20"/>
                <w:szCs w:val="32"/>
                <w:lang w:eastAsia="zh-CN"/>
              </w:rPr>
              <w:t>李娅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2400" w:type="dxa"/>
            <w:vAlign w:val="center"/>
          </w:tcPr>
          <w:p>
            <w:pPr>
              <w:jc w:val="center"/>
              <w:rPr>
                <w:rFonts w:hint="eastAsia" w:ascii="仿宋" w:hAnsi="仿宋" w:eastAsia="仿宋"/>
                <w:spacing w:val="20"/>
                <w:szCs w:val="32"/>
              </w:rPr>
            </w:pPr>
            <w:r>
              <w:rPr>
                <w:rFonts w:hint="eastAsia" w:ascii="仿宋" w:hAnsi="仿宋" w:eastAsia="仿宋"/>
                <w:spacing w:val="20"/>
                <w:szCs w:val="32"/>
              </w:rPr>
              <w:t>办理</w:t>
            </w:r>
          </w:p>
          <w:p>
            <w:pPr>
              <w:jc w:val="center"/>
              <w:rPr>
                <w:rFonts w:hint="eastAsia" w:ascii="仿宋" w:hAnsi="仿宋" w:eastAsia="仿宋"/>
                <w:spacing w:val="20"/>
                <w:szCs w:val="32"/>
              </w:rPr>
            </w:pPr>
            <w:r>
              <w:rPr>
                <w:rFonts w:hint="eastAsia" w:ascii="仿宋" w:hAnsi="仿宋" w:eastAsia="仿宋"/>
                <w:spacing w:val="20"/>
                <w:szCs w:val="32"/>
              </w:rPr>
              <w:t>情况</w:t>
            </w:r>
          </w:p>
        </w:tc>
        <w:tc>
          <w:tcPr>
            <w:tcW w:w="12115" w:type="dxa"/>
            <w:gridSpan w:val="4"/>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sz w:val="24"/>
                <w:szCs w:val="24"/>
              </w:rPr>
            </w:pPr>
            <w:bookmarkStart w:id="0" w:name="_GoBack"/>
            <w:r>
              <w:rPr>
                <w:rFonts w:hint="eastAsia" w:ascii="楷体_GB2312" w:hAnsi="黑体" w:eastAsia="楷体_GB2312"/>
                <w:b/>
                <w:color w:val="000000"/>
                <w:sz w:val="24"/>
                <w:szCs w:val="24"/>
                <w:lang w:eastAsia="zh-CN"/>
              </w:rPr>
              <w:t>一是</w:t>
            </w:r>
            <w:r>
              <w:rPr>
                <w:rFonts w:hint="eastAsia" w:ascii="楷体_GB2312" w:hAnsi="黑体" w:eastAsia="楷体_GB2312"/>
                <w:b/>
                <w:color w:val="000000"/>
                <w:sz w:val="24"/>
                <w:szCs w:val="24"/>
              </w:rPr>
              <w:t>围绕湿地保护利用，做美“高端生态”的文章。</w:t>
            </w:r>
            <w:r>
              <w:rPr>
                <w:rFonts w:hint="eastAsia" w:ascii="仿宋_GB2312" w:hAnsi="黑体" w:eastAsia="仿宋_GB2312" w:cs="Times New Roman"/>
                <w:color w:val="000000"/>
                <w:sz w:val="24"/>
                <w:szCs w:val="24"/>
                <w:lang w:val="en-US" w:eastAsia="zh-CN"/>
              </w:rPr>
              <w:t>坚持生态文明理念，依托“山水林田湖大会战”，大力实施湿地生态环境保护，全面推进实施生态修复、绿化提升、系列花园规划、岛屿保护性开发等项目，不断提升景区生态环境质量。争取并实施了投资100万元的生态恢复项目，全域布局种植了2.7万棵杉树林带、1.5万株特色花卉园、1万株水生植物和22万株蒲苇观赏片区。开展了增殖放流活动，放流鳙鱼、草鱼、鲢鱼等30余万尾，保障了景区生态链安全。争取投资1000万元的休闲渔业鱼塘尾水治理项目，进一步改善景区水环境质量，景区水质稳定优于国家标准要求。高标准规划建设了百草园、紫薇园、海棠园、樱花园、桂花园和精品牡丹观赏园，高效率开发建成了独具特色的梅花三岛和夏微漪四岛，形成了“八园九岛二林二水道”的旅游发展新格局。</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黑体" w:eastAsia="仿宋_GB2312" w:cs="Times New Roman"/>
                <w:color w:val="000000"/>
                <w:sz w:val="24"/>
                <w:szCs w:val="24"/>
                <w:lang w:val="en-US" w:eastAsia="zh-CN"/>
              </w:rPr>
            </w:pPr>
            <w:r>
              <w:rPr>
                <w:rFonts w:hint="eastAsia" w:ascii="楷体_GB2312" w:hAnsi="黑体" w:eastAsia="楷体_GB2312"/>
                <w:b/>
                <w:color w:val="000000"/>
                <w:sz w:val="24"/>
                <w:szCs w:val="24"/>
                <w:lang w:eastAsia="zh-CN"/>
              </w:rPr>
              <w:t>二是</w:t>
            </w:r>
            <w:r>
              <w:rPr>
                <w:rFonts w:hint="eastAsia" w:ascii="楷体_GB2312" w:hAnsi="黑体" w:eastAsia="楷体_GB2312"/>
                <w:b/>
                <w:color w:val="000000"/>
                <w:sz w:val="24"/>
                <w:szCs w:val="24"/>
              </w:rPr>
              <w:t>围绕提升旅游品质，做好“特色</w:t>
            </w:r>
            <w:r>
              <w:rPr>
                <w:rFonts w:hint="eastAsia" w:ascii="楷体_GB2312" w:hAnsi="黑体" w:eastAsia="楷体_GB2312"/>
                <w:b/>
                <w:color w:val="000000"/>
                <w:sz w:val="24"/>
                <w:szCs w:val="24"/>
                <w:lang w:eastAsia="zh-CN"/>
              </w:rPr>
              <w:t>业态</w:t>
            </w:r>
            <w:r>
              <w:rPr>
                <w:rFonts w:hint="eastAsia" w:ascii="楷体_GB2312" w:hAnsi="黑体" w:eastAsia="楷体_GB2312"/>
                <w:b/>
                <w:color w:val="000000"/>
                <w:sz w:val="24"/>
                <w:szCs w:val="24"/>
              </w:rPr>
              <w:t>”的文章。</w:t>
            </w:r>
            <w:r>
              <w:rPr>
                <w:rFonts w:hint="eastAsia" w:ascii="仿宋_GB2312" w:hAnsi="黑体" w:eastAsia="仿宋_GB2312" w:cs="Times New Roman"/>
                <w:color w:val="000000"/>
                <w:sz w:val="24"/>
                <w:szCs w:val="24"/>
                <w:lang w:val="en-US" w:eastAsia="zh-CN"/>
              </w:rPr>
              <w:t>通过实施盘活资源和资源招商战略，规划建设了“红岛”“红船”“长征路”三位一体的党史教育基地，今年以来，先后有1万余名全国各地党员干部群众和红色研学队伍30批次、1.5万名中小学生走进红荷湿地开展红色教育和研学旅游。借助扶贫产业项目，投入资金3200万元，新上各类豪华游艇、快艇、船坞共五种、42艘，进一步增强了湖面观光承载能力。通过多方努力，顺利完成与微山县南阳古镇景区通航审批工作，实现了两个景区水路联通，丰富了游客亲水体验，广大游客乘坐游船穿梭于烟波浩渺的微山湖上，近可观万顷红荷、京杭运河、南阳古镇，远可览岛链胜景、水天一色、运河风光。盘活资源上项目，招引了一大批实力强、品质优、美誉度高的业态群落地运营，继“步步惊心”网红桥、“步步生莲”高空玻璃桥、火车小镇成功落地运营后，2021年又先后建成了金蜗牛房车营地、微山湖星动营等户外精品康养民宿项目，全方位构建起了以“水慢城·九岛慢游”为龙头，以五船竞秀、水道慢游、生态船坞、火车小镇、房车营地、四季花海以及特色节会活动等为支撑的特色旅游业态群，全方位、多维度丰富和提升了景区旅游业态。</w:t>
            </w:r>
          </w:p>
          <w:p>
            <w:pPr>
              <w:keepNext w:val="0"/>
              <w:keepLines w:val="0"/>
              <w:pageBreakBefore w:val="0"/>
              <w:widowControl w:val="0"/>
              <w:tabs>
                <w:tab w:val="left" w:pos="5376"/>
              </w:tabs>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spacing w:val="20"/>
                <w:szCs w:val="32"/>
              </w:rPr>
            </w:pPr>
            <w:r>
              <w:rPr>
                <w:rFonts w:hint="eastAsia" w:ascii="楷体_GB2312" w:hAnsi="黑体" w:eastAsia="楷体_GB2312"/>
                <w:b/>
                <w:color w:val="000000"/>
                <w:sz w:val="24"/>
                <w:szCs w:val="24"/>
                <w:lang w:eastAsia="zh-CN"/>
              </w:rPr>
              <w:t>三是</w:t>
            </w:r>
            <w:r>
              <w:rPr>
                <w:rFonts w:hint="eastAsia" w:ascii="楷体_GB2312" w:hAnsi="黑体" w:eastAsia="楷体_GB2312"/>
                <w:b/>
                <w:color w:val="000000"/>
                <w:sz w:val="24"/>
                <w:szCs w:val="24"/>
              </w:rPr>
              <w:t>围绕品牌形象</w:t>
            </w:r>
            <w:r>
              <w:rPr>
                <w:rFonts w:hint="eastAsia" w:ascii="楷体_GB2312" w:hAnsi="黑体" w:eastAsia="楷体_GB2312"/>
                <w:b/>
                <w:color w:val="000000"/>
                <w:sz w:val="24"/>
                <w:szCs w:val="24"/>
                <w:lang w:eastAsia="zh-CN"/>
              </w:rPr>
              <w:t>宣传</w:t>
            </w:r>
            <w:r>
              <w:rPr>
                <w:rFonts w:hint="eastAsia" w:ascii="楷体_GB2312" w:hAnsi="黑体" w:eastAsia="楷体_GB2312"/>
                <w:b/>
                <w:color w:val="000000"/>
                <w:sz w:val="24"/>
                <w:szCs w:val="24"/>
              </w:rPr>
              <w:t>，做足“节会活动”的文章</w:t>
            </w:r>
            <w:r>
              <w:rPr>
                <w:rFonts w:hint="eastAsia" w:ascii="楷体_GB2312" w:hAnsi="黑体" w:eastAsia="楷体_GB2312"/>
                <w:b/>
                <w:color w:val="000000"/>
                <w:sz w:val="24"/>
                <w:szCs w:val="24"/>
                <w:lang w:eastAsia="zh-CN"/>
              </w:rPr>
              <w:t>。</w:t>
            </w:r>
            <w:r>
              <w:rPr>
                <w:rFonts w:hint="eastAsia" w:ascii="仿宋_GB2312" w:hAnsi="黑体" w:eastAsia="仿宋_GB2312" w:cs="Times New Roman"/>
                <w:color w:val="000000"/>
                <w:sz w:val="24"/>
                <w:szCs w:val="24"/>
                <w:lang w:val="en-US" w:eastAsia="zh-CN"/>
              </w:rPr>
              <w:t>立足红荷湿地业态单一、景观单一、游季单一的实际，对闲置的大棚区、废弃的荒岛区以及景观价值弱化的游线毗邻区进行系统研究和科学谋划，坚持荷花主打品牌不动摇，积极拓宽旅游时间和空间，新上100亩梅花种植区、60亩海棠种植区、280亩牡丹种植区以及210亩芦花红杉种植区，同时配以人文业态以及系列活动，构建起梅花节、海棠节、牡丹节、芦花节、菊花节、紫藤花节等节会平台，加上一年一度主打的传统节会——红荷节，由此形成贯穿全年的七大节会活动和遍布景区的网红打卡地、旅游新爆点，努力使之成为推介景区文旅产业发展成就、提升滕州区域形象、促进文旅消费的重要窗口和平台。</w:t>
            </w:r>
            <w:r>
              <w:rPr>
                <w:rFonts w:hint="eastAsia" w:ascii="仿宋_GB2312" w:hAnsi="黑体" w:eastAsia="仿宋_GB2312" w:cs="Times New Roman"/>
                <w:color w:val="000000"/>
                <w:sz w:val="24"/>
                <w:szCs w:val="24"/>
                <w:lang w:val="en-US" w:eastAsia="zh-CN"/>
              </w:rPr>
              <w:t>充分发挥各种传统媒体、新媒介、自媒体宣传载体作用，红荷湿地对外宣传实现了有声、有图、有影，线上线下交融复合、相得益彰，全方位、多角度、立体式宣传推介新格局。</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400" w:type="dxa"/>
            <w:vAlign w:val="center"/>
          </w:tcPr>
          <w:p>
            <w:pPr>
              <w:jc w:val="center"/>
              <w:rPr>
                <w:rFonts w:hint="eastAsia" w:ascii="仿宋" w:hAnsi="仿宋" w:eastAsia="仿宋"/>
                <w:spacing w:val="20"/>
                <w:szCs w:val="32"/>
              </w:rPr>
            </w:pPr>
            <w:r>
              <w:rPr>
                <w:rFonts w:hint="eastAsia" w:ascii="仿宋" w:hAnsi="仿宋" w:eastAsia="仿宋"/>
                <w:spacing w:val="20"/>
                <w:szCs w:val="32"/>
              </w:rPr>
              <w:t>承办单位主要负责人意见</w:t>
            </w:r>
          </w:p>
        </w:tc>
        <w:tc>
          <w:tcPr>
            <w:tcW w:w="3184" w:type="dxa"/>
          </w:tcPr>
          <w:p>
            <w:pPr>
              <w:jc w:val="center"/>
              <w:rPr>
                <w:rFonts w:hint="eastAsia" w:ascii="仿宋" w:hAnsi="仿宋" w:eastAsia="仿宋"/>
                <w:spacing w:val="20"/>
                <w:szCs w:val="32"/>
              </w:rPr>
            </w:pPr>
          </w:p>
        </w:tc>
        <w:tc>
          <w:tcPr>
            <w:tcW w:w="2104" w:type="dxa"/>
            <w:gridSpan w:val="2"/>
            <w:vAlign w:val="center"/>
          </w:tcPr>
          <w:p>
            <w:pPr>
              <w:jc w:val="center"/>
              <w:rPr>
                <w:rFonts w:hint="eastAsia" w:ascii="仿宋" w:hAnsi="仿宋" w:eastAsia="仿宋"/>
                <w:spacing w:val="20"/>
                <w:szCs w:val="32"/>
              </w:rPr>
            </w:pPr>
            <w:r>
              <w:rPr>
                <w:rFonts w:hint="eastAsia" w:ascii="仿宋" w:hAnsi="仿宋" w:eastAsia="仿宋"/>
                <w:spacing w:val="20"/>
                <w:szCs w:val="32"/>
              </w:rPr>
              <w:t>分管市长</w:t>
            </w:r>
          </w:p>
          <w:p>
            <w:pPr>
              <w:jc w:val="center"/>
              <w:rPr>
                <w:rFonts w:hint="eastAsia" w:ascii="仿宋" w:hAnsi="仿宋" w:eastAsia="仿宋"/>
                <w:spacing w:val="20"/>
                <w:szCs w:val="32"/>
              </w:rPr>
            </w:pPr>
            <w:r>
              <w:rPr>
                <w:rFonts w:hint="eastAsia" w:ascii="仿宋" w:hAnsi="仿宋" w:eastAsia="仿宋"/>
                <w:spacing w:val="20"/>
                <w:szCs w:val="32"/>
              </w:rPr>
              <w:t>意 见</w:t>
            </w:r>
          </w:p>
        </w:tc>
        <w:tc>
          <w:tcPr>
            <w:tcW w:w="6827" w:type="dxa"/>
          </w:tcPr>
          <w:p>
            <w:pPr>
              <w:rPr>
                <w:rFonts w:hint="eastAsia" w:ascii="仿宋" w:hAnsi="仿宋" w:eastAsia="仿宋"/>
                <w:spacing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400" w:type="dxa"/>
            <w:vAlign w:val="center"/>
          </w:tcPr>
          <w:p>
            <w:pPr>
              <w:jc w:val="center"/>
              <w:rPr>
                <w:rFonts w:hint="eastAsia" w:ascii="仿宋" w:hAnsi="仿宋" w:eastAsia="仿宋"/>
                <w:spacing w:val="20"/>
                <w:szCs w:val="32"/>
              </w:rPr>
            </w:pPr>
            <w:r>
              <w:rPr>
                <w:rFonts w:hint="eastAsia" w:ascii="仿宋" w:hAnsi="仿宋" w:eastAsia="仿宋"/>
                <w:spacing w:val="20"/>
                <w:szCs w:val="32"/>
              </w:rPr>
              <w:t>人大代表签字</w:t>
            </w:r>
          </w:p>
        </w:tc>
        <w:tc>
          <w:tcPr>
            <w:tcW w:w="12115" w:type="dxa"/>
            <w:gridSpan w:val="4"/>
          </w:tcPr>
          <w:p>
            <w:pPr>
              <w:rPr>
                <w:rFonts w:hint="eastAsia" w:ascii="仿宋" w:hAnsi="仿宋" w:eastAsia="仿宋"/>
                <w:spacing w:val="20"/>
                <w:szCs w:val="32"/>
              </w:rPr>
            </w:pPr>
          </w:p>
        </w:tc>
      </w:tr>
    </w:tbl>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136" type="#_x0000_t136" style="position:absolute;left:0pt;margin-top:0pt;height:20pt;width:120pt;mso-position-horizontal:center;mso-position-horizontal-relative:margin;mso-position-vertical-relative:margin;rotation:-2621440f;z-index:251659264;mso-width-relative:page;mso-height-relative:page;" fillcolor="#E0E0E0" filled="t" stroked="t" coordsize="21600,21600">
          <v:path/>
          <v:fill on="t" opacity="13107f" focussize="0,0"/>
          <v:stroke color="#E0E0E0" opacity="19661f"/>
          <v:imagedata o:title=""/>
          <o:lock v:ext="edit"/>
          <v:textpath on="t" fitshape="t" fitpath="t" trim="f" xscale="f" string="综合室-李娅" style="font-family:Arial;font-size:36pt;v-text-align:center;"/>
        </v:shape>
      </w:pict>
    </w:r>
    <w:r>
      <w:pict>
        <v:shape id="_x0000_s4101" o:spid="_x0000_s4101" o:spt="136" type="#_x0000_t136" style="position:absolute;left:0pt;height:20pt;width:120pt;mso-position-horizontal:center;mso-position-horizontal-relative:page;mso-position-vertical:center;mso-position-vertical-relative:page;rotation:-2621440f;z-index:251660288;mso-width-relative:page;mso-height-relative:page;" fillcolor="#E0E0E0" filled="t" stroked="t" coordsize="21600,21600">
          <v:path/>
          <v:fill on="t" opacity="13107f" focussize="0,0"/>
          <v:stroke color="#E0E0E0" opacity="19661f"/>
          <v:imagedata o:title=""/>
          <o:lock v:ext="edit"/>
          <v:textpath on="t" fitshape="t" fitpath="t" trim="f" xscale="f" string="综合室-李娅" style="font-family:Arial;font-size:36pt;v-text-align:center;"/>
        </v:shape>
      </w:pict>
    </w:r>
    <w:r>
      <w:pict>
        <v:shape id="_x0000_s4102" o:spid="_x0000_s4102" o:spt="136" type="#_x0000_t136" style="position:absolute;left:0pt;margin-top:480pt;height:20pt;width:120pt;mso-position-horizontal:center;mso-position-horizontal-relative:margin;mso-position-vertical-relative:margin;rotation:-2621440f;z-index:251661312;mso-width-relative:page;mso-height-relative:page;" fillcolor="#E0E0E0" filled="t" stroked="t" coordsize="21600,21600">
          <v:path/>
          <v:fill on="t" opacity="13107f" focussize="0,0"/>
          <v:stroke color="#E0E0E0" opacity="19661f"/>
          <v:imagedata o:title=""/>
          <o:lock v:ext="edit"/>
          <v:textpath on="t" fitshape="t" fitpath="t" trim="f" xscale="f" string="综合室-李娅"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N2ZlZTM4MmZjYmViMjcxYTVkNGJlZTdiYzJlNDYifQ=="/>
  </w:docVars>
  <w:rsids>
    <w:rsidRoot w:val="00000000"/>
    <w:rsid w:val="07A9051C"/>
    <w:rsid w:val="11F139DB"/>
    <w:rsid w:val="1F901280"/>
    <w:rsid w:val="22C41ECF"/>
    <w:rsid w:val="4551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32"/>
      <w:sz w:val="32"/>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pPr>
      <w:spacing w:before="1248" w:beforeLines="400" w:line="600" w:lineRule="exact"/>
      <w:jc w:val="right"/>
    </w:pPr>
    <w:rPr>
      <w:rFonts w:ascii="仿宋_GB2312" w:eastAsia="仿宋_GB2312" w:cs="仿宋_GB2312"/>
      <w:color w:val="00000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1367</Words>
  <Characters>1396</Characters>
  <Lines>0</Lines>
  <Paragraphs>0</Paragraphs>
  <TotalTime>2</TotalTime>
  <ScaleCrop>false</ScaleCrop>
  <LinksUpToDate>false</LinksUpToDate>
  <CharactersWithSpaces>1400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2022-04-27T02:02:00Z</dcterms:created>
  <dc:creator>Administrator</dc:creator>
  <cp:lastModifiedBy>木箫</cp:lastModifiedBy>
  <dcterms:modified xsi:type="dcterms:W3CDTF">2022-06-15T04:46:01Z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3006CC49F55D47668292ECE791192E09</vt:lpwstr>
  </property>
</Properties>
</file>