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lang w:eastAsia="zh-CN"/>
        </w:rPr>
        <w:t>滕州微山湖湿地管委会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lang w:val="en-US" w:eastAsia="zh-CN"/>
        </w:rPr>
        <w:t>2021年度政务公开工作培训开展情况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为贯彻落实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滕州市政府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政务公开文件精神，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湿地管委会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高度重视并召集相关科室主要负责人召开会议针对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政务公开存在的主要问题，并明确了任务分工及整改措施，就下一步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政务公开工作进行了重点安排部署。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高度重视，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充分认识政务公开工作的重要意义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政务公开工作是打造廉洁政府、法治政府和服务型政府的重要举措之一，从国家、省、市、区来看，重视程度越来越高，工作推进力度越来越大，政务公开工作进入全新发展机遇期。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湿地管委会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领导要求全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干部职工，特别是从事政务公开工作的科室、人员要切实统一思想，加强对政务公开工作的学习，深刻领会会议精神，把握精神实质，将政务公开工作作为当前和今后时期工作的重点来抓好落实。会后，各科室、单位组织相关人员自行学习领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二、围绕大局，提升政务公开工作的责任感和紧迫感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政务公开工作的出发点和落脚点在于优化发展环境，提供优良服务，促进经济发展。近年来，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政务公开工作努力围绕全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市文化旅游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工作，严格按照上级有关政务公开工作的要求部署，把政务公开工作作为推进阳光行政的重要事项，摆上重要议事日程，突出了“一把手”负责，科室、单位团结协作的领导体制和工作机制，初步形成了行为规范、运转协调、公正透明、廉洁高效的综合管理体制。随着政务公开工作的不断深化，也发现了不相适应的地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将继续高度重视，加强整改力度，不断提升做好政务公开工作的责任感和紧迫感，推动政务公开工作深入开展。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三、强化工作措施，扎实开展政务公开工作。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下步工作中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，湿地管委会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将高度重视政务公开工作，坚持问题导向，认真对照考核中发现的涉及本单位的问题，分析查找原因，制定整改措施，全面贯彻落实中央、省和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两级市委市政府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有关工作部署要求，进一步提高政务公开实效。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一是深化政务公开内容。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以社会关注度高、公共利益大的公共信息作为突破口，积极推进业务公开工作，让公众更多地了解医保政策。坚持公开为常态，不公开为例外的原则，进一步做好公开和免予公开两类政府信息的界定，完善主动公开的政府信息目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二是规范政务公开行为。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加大督办力度，做好分类公开的各项工作，及时公布信息，切实做到政务公开的内容常换常新，并确保公开信息质量。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三是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对标先进争先创优。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认真学习借鉴其他单位有关信息公开的先进做法和经验，加大宣传力度，开展多种形式的宣传活动，努力营造政务公开的良好氛围，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奋力开创新时代现代化强市建设新局面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做出新的更大贡献。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滕州微山湖湿地管委会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2021年11月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2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2021-11-17T03:56:54Z</dcterms:created>
  <dc:creator>Administrator</dc:creator>
  <cp:lastModifiedBy>木箫</cp:lastModifiedBy>
  <dcterms:modified xsi:type="dcterms:W3CDTF">2021-11-17T04:12:28Z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887A635C334D44338B6710F37DACA7FF</vt:lpwstr>
  </property>
</Properties>
</file>