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E9" w:rsidRDefault="008857E9" w:rsidP="008857E9">
      <w:pPr>
        <w:jc w:val="distribute"/>
        <w:rPr>
          <w:rFonts w:ascii="方正小标宋简体" w:eastAsia="方正小标宋简体" w:hAnsi="方正小标宋简体" w:cs="方正小标宋简体"/>
          <w:bCs/>
          <w:color w:val="FF0000"/>
          <w:spacing w:val="-30"/>
          <w:w w:val="80"/>
          <w:sz w:val="96"/>
          <w:szCs w:val="96"/>
        </w:rPr>
      </w:pPr>
      <w:r>
        <w:rPr>
          <w:rFonts w:hint="eastAsia"/>
          <w:noProof/>
        </w:rPr>
        <mc:AlternateContent>
          <mc:Choice Requires="wps">
            <w:drawing>
              <wp:anchor distT="0" distB="0" distL="114300" distR="114300" simplePos="0" relativeHeight="251659264" behindDoc="0" locked="0" layoutInCell="1" allowOverlap="1" wp14:anchorId="29CBBCEC" wp14:editId="081B7D6F">
                <wp:simplePos x="0" y="0"/>
                <wp:positionH relativeFrom="column">
                  <wp:posOffset>-177165</wp:posOffset>
                </wp:positionH>
                <wp:positionV relativeFrom="paragraph">
                  <wp:posOffset>991870</wp:posOffset>
                </wp:positionV>
                <wp:extent cx="5619750" cy="9525"/>
                <wp:effectExtent l="0" t="17145" r="0" b="30480"/>
                <wp:wrapNone/>
                <wp:docPr id="3" name="直线 2"/>
                <wp:cNvGraphicFramePr/>
                <a:graphic xmlns:a="http://schemas.openxmlformats.org/drawingml/2006/main">
                  <a:graphicData uri="http://schemas.microsoft.com/office/word/2010/wordprocessingShape">
                    <wps:wsp>
                      <wps:cNvCnPr/>
                      <wps:spPr>
                        <a:xfrm>
                          <a:off x="0" y="0"/>
                          <a:ext cx="5619750" cy="9525"/>
                        </a:xfrm>
                        <a:prstGeom prst="line">
                          <a:avLst/>
                        </a:prstGeom>
                        <a:ln w="34925" cap="flat" cmpd="thickThin">
                          <a:solidFill>
                            <a:srgbClr val="FF0000"/>
                          </a:solidFill>
                          <a:prstDash val="solid"/>
                          <a:headEnd type="none" w="med" len="med"/>
                          <a:tailEnd type="none" w="med" len="med"/>
                        </a:ln>
                      </wps:spPr>
                      <wps:bodyPr/>
                    </wps:wsp>
                  </a:graphicData>
                </a:graphic>
              </wp:anchor>
            </w:drawing>
          </mc:Choice>
          <mc:Fallback>
            <w:pict>
              <v:line w14:anchorId="4A7996BD"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95pt,78.1pt" to="428.5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" strokecolor="red" strokeweight="2.75pt">
                <v:stroke linestyle="thickThin"/>
              </v:line>
            </w:pict>
          </mc:Fallback>
        </mc:AlternateContent>
      </w:r>
      <w:r>
        <w:rPr>
          <w:rFonts w:ascii="方正小标宋简体" w:eastAsia="方正小标宋简体" w:hAnsi="方正小标宋简体" w:cs="方正小标宋简体" w:hint="eastAsia"/>
          <w:bCs/>
          <w:color w:val="FF0000"/>
          <w:spacing w:val="-30"/>
          <w:w w:val="80"/>
          <w:sz w:val="96"/>
          <w:szCs w:val="96"/>
        </w:rPr>
        <w:t>滕州市市场监督管理局</w:t>
      </w:r>
    </w:p>
    <w:p w:rsidR="008857E9" w:rsidRDefault="008857E9" w:rsidP="008857E9">
      <w:pPr>
        <w:jc w:val="center"/>
        <w:rPr>
          <w:rFonts w:ascii="方正小标宋简体" w:eastAsia="方正小标宋简体" w:hAnsi="方正小标宋简体" w:cs="方正小标宋简体"/>
          <w:bCs/>
          <w:sz w:val="44"/>
          <w:szCs w:val="44"/>
        </w:rPr>
      </w:pPr>
    </w:p>
    <w:p w:rsidR="000B276D" w:rsidRDefault="0029631E" w:rsidP="000B276D">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2021</w:t>
      </w:r>
      <w:r w:rsidR="000B276D">
        <w:rPr>
          <w:rFonts w:ascii="方正小标宋简体" w:eastAsia="方正小标宋简体" w:hAnsi="方正小标宋简体" w:cs="方正小标宋简体" w:hint="eastAsia"/>
          <w:bCs/>
          <w:sz w:val="44"/>
          <w:szCs w:val="44"/>
        </w:rPr>
        <w:t>年度食品安全</w:t>
      </w:r>
      <w:r w:rsidR="00D40B26">
        <w:rPr>
          <w:rFonts w:ascii="方正小标宋简体" w:eastAsia="方正小标宋简体" w:hAnsi="方正小标宋简体" w:cs="方正小标宋简体" w:hint="eastAsia"/>
          <w:bCs/>
          <w:sz w:val="44"/>
          <w:szCs w:val="44"/>
        </w:rPr>
        <w:t>监督</w:t>
      </w:r>
      <w:r w:rsidR="000B276D">
        <w:rPr>
          <w:rFonts w:ascii="方正小标宋简体" w:eastAsia="方正小标宋简体" w:hAnsi="方正小标宋简体" w:cs="方正小标宋简体" w:hint="eastAsia"/>
          <w:bCs/>
          <w:sz w:val="44"/>
          <w:szCs w:val="44"/>
        </w:rPr>
        <w:t>抽检实施方案</w:t>
      </w:r>
    </w:p>
    <w:p w:rsidR="000B276D" w:rsidRDefault="000B276D" w:rsidP="000B276D">
      <w:pPr>
        <w:ind w:firstLineChars="200" w:firstLine="640"/>
        <w:rPr>
          <w:rFonts w:ascii="仿宋_GB2312" w:eastAsia="仿宋_GB2312"/>
          <w:sz w:val="32"/>
          <w:szCs w:val="32"/>
        </w:rPr>
      </w:pP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为全面提升我市食品及食用农产品质量水平，切实保障人民群众饮食安全，根据《中华人民共和国食品安全法》《中华人民共和国</w:t>
      </w:r>
      <w:r>
        <w:rPr>
          <w:rFonts w:ascii="仿宋_GB2312" w:eastAsia="仿宋_GB2312"/>
          <w:sz w:val="32"/>
          <w:szCs w:val="32"/>
        </w:rPr>
        <w:t>农产品质量安全法</w:t>
      </w:r>
      <w:r>
        <w:rPr>
          <w:rFonts w:ascii="仿宋_GB2312" w:eastAsia="仿宋_GB2312" w:hint="eastAsia"/>
          <w:sz w:val="32"/>
          <w:szCs w:val="32"/>
        </w:rPr>
        <w:t>》《食用</w:t>
      </w:r>
      <w:r>
        <w:rPr>
          <w:rFonts w:ascii="仿宋_GB2312" w:eastAsia="仿宋_GB2312"/>
          <w:sz w:val="32"/>
          <w:szCs w:val="32"/>
        </w:rPr>
        <w:t>农产品</w:t>
      </w:r>
      <w:r>
        <w:rPr>
          <w:rFonts w:ascii="仿宋_GB2312" w:eastAsia="仿宋_GB2312" w:hint="eastAsia"/>
          <w:sz w:val="32"/>
          <w:szCs w:val="32"/>
        </w:rPr>
        <w:t>市场销售质量</w:t>
      </w:r>
      <w:r>
        <w:rPr>
          <w:rFonts w:ascii="仿宋_GB2312" w:eastAsia="仿宋_GB2312"/>
          <w:sz w:val="32"/>
          <w:szCs w:val="32"/>
        </w:rPr>
        <w:t>安全监督管理办法</w:t>
      </w:r>
      <w:r>
        <w:rPr>
          <w:rFonts w:ascii="仿宋_GB2312" w:eastAsia="仿宋_GB2312" w:hint="eastAsia"/>
          <w:sz w:val="32"/>
          <w:szCs w:val="32"/>
        </w:rPr>
        <w:t>》《食品安全抽样检验管理办法》等法律、法规</w:t>
      </w:r>
      <w:r>
        <w:rPr>
          <w:rFonts w:ascii="仿宋_GB2312" w:eastAsia="仿宋_GB2312"/>
          <w:sz w:val="32"/>
          <w:szCs w:val="32"/>
        </w:rPr>
        <w:t>和规章的规定</w:t>
      </w:r>
      <w:r>
        <w:rPr>
          <w:rFonts w:ascii="仿宋_GB2312" w:eastAsia="仿宋_GB2312" w:hint="eastAsia"/>
          <w:sz w:val="32"/>
          <w:szCs w:val="32"/>
        </w:rPr>
        <w:t>，结合我市食品安全现状，制定滕州市</w:t>
      </w:r>
      <w:r w:rsidR="0029631E">
        <w:rPr>
          <w:rFonts w:ascii="仿宋_GB2312" w:eastAsia="仿宋_GB2312"/>
          <w:sz w:val="32"/>
          <w:szCs w:val="32"/>
        </w:rPr>
        <w:t>2021</w:t>
      </w:r>
      <w:r>
        <w:rPr>
          <w:rFonts w:ascii="仿宋_GB2312" w:eastAsia="仿宋_GB2312" w:hint="eastAsia"/>
          <w:sz w:val="32"/>
          <w:szCs w:val="32"/>
        </w:rPr>
        <w:t>年度食品（含保健食品及食用农产品）抽检实施方案。</w:t>
      </w:r>
    </w:p>
    <w:p w:rsidR="000B276D" w:rsidRDefault="000B276D" w:rsidP="000B276D">
      <w:pPr>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w:t>
      </w:r>
      <w:r>
        <w:rPr>
          <w:rFonts w:ascii="仿宋_GB2312" w:eastAsia="仿宋_GB2312" w:hint="eastAsia"/>
          <w:b/>
          <w:sz w:val="32"/>
          <w:szCs w:val="32"/>
        </w:rPr>
        <w:t>抽检原则</w:t>
      </w:r>
    </w:p>
    <w:p w:rsidR="00CB64ED" w:rsidRDefault="00CB64ED" w:rsidP="000B276D">
      <w:pPr>
        <w:ind w:firstLineChars="200" w:firstLine="640"/>
        <w:rPr>
          <w:rFonts w:ascii="仿宋_GB2312" w:eastAsia="仿宋_GB2312"/>
          <w:b/>
          <w:sz w:val="32"/>
          <w:szCs w:val="32"/>
        </w:rPr>
      </w:pPr>
      <w:r>
        <w:rPr>
          <w:rFonts w:ascii="仿宋_GB2312" w:eastAsia="仿宋_GB2312" w:hint="eastAsia"/>
          <w:sz w:val="32"/>
          <w:szCs w:val="32"/>
        </w:rPr>
        <w:t>突出重点品种、重点企业，坚持</w:t>
      </w:r>
      <w:r>
        <w:rPr>
          <w:rFonts w:ascii="仿宋_GB2312" w:eastAsia="仿宋_GB2312"/>
          <w:sz w:val="32"/>
          <w:szCs w:val="32"/>
        </w:rPr>
        <w:t>问题导向，聚焦群众</w:t>
      </w:r>
      <w:r>
        <w:rPr>
          <w:rFonts w:ascii="仿宋_GB2312" w:eastAsia="仿宋_GB2312" w:hint="eastAsia"/>
          <w:sz w:val="32"/>
          <w:szCs w:val="32"/>
        </w:rPr>
        <w:t>关切</w:t>
      </w:r>
      <w:r>
        <w:rPr>
          <w:rFonts w:ascii="仿宋_GB2312" w:eastAsia="仿宋_GB2312"/>
          <w:sz w:val="32"/>
          <w:szCs w:val="32"/>
        </w:rPr>
        <w:t>，重点抽取风险程度高、</w:t>
      </w:r>
      <w:r>
        <w:rPr>
          <w:rFonts w:ascii="仿宋_GB2312" w:eastAsia="仿宋_GB2312" w:hint="eastAsia"/>
          <w:sz w:val="32"/>
          <w:szCs w:val="32"/>
        </w:rPr>
        <w:t>合格率</w:t>
      </w:r>
      <w:r>
        <w:rPr>
          <w:rFonts w:ascii="仿宋_GB2312" w:eastAsia="仿宋_GB2312"/>
          <w:sz w:val="32"/>
          <w:szCs w:val="32"/>
        </w:rPr>
        <w:t>较低</w:t>
      </w:r>
      <w:r>
        <w:rPr>
          <w:rFonts w:ascii="仿宋_GB2312" w:eastAsia="仿宋_GB2312" w:hint="eastAsia"/>
          <w:sz w:val="32"/>
          <w:szCs w:val="32"/>
        </w:rPr>
        <w:t>、</w:t>
      </w:r>
      <w:r>
        <w:rPr>
          <w:rFonts w:ascii="仿宋_GB2312" w:eastAsia="仿宋_GB2312"/>
          <w:sz w:val="32"/>
          <w:szCs w:val="32"/>
        </w:rPr>
        <w:t>消费量较大</w:t>
      </w:r>
      <w:r>
        <w:rPr>
          <w:rFonts w:ascii="仿宋_GB2312" w:eastAsia="仿宋_GB2312" w:hint="eastAsia"/>
          <w:sz w:val="32"/>
          <w:szCs w:val="32"/>
        </w:rPr>
        <w:t>、</w:t>
      </w:r>
      <w:r>
        <w:rPr>
          <w:rFonts w:ascii="仿宋_GB2312" w:eastAsia="仿宋_GB2312"/>
          <w:sz w:val="32"/>
          <w:szCs w:val="32"/>
        </w:rPr>
        <w:t>监</w:t>
      </w:r>
      <w:r>
        <w:rPr>
          <w:rFonts w:ascii="仿宋_GB2312" w:eastAsia="仿宋_GB2312" w:hint="eastAsia"/>
          <w:sz w:val="32"/>
          <w:szCs w:val="32"/>
        </w:rPr>
        <w:t>管</w:t>
      </w:r>
      <w:r>
        <w:rPr>
          <w:rFonts w:ascii="仿宋_GB2312" w:eastAsia="仿宋_GB2312"/>
          <w:sz w:val="32"/>
          <w:szCs w:val="32"/>
        </w:rPr>
        <w:t>工作中发现问题较多的食品，</w:t>
      </w:r>
      <w:r>
        <w:rPr>
          <w:rFonts w:ascii="仿宋_GB2312" w:eastAsia="仿宋_GB2312" w:hint="eastAsia"/>
          <w:sz w:val="32"/>
          <w:szCs w:val="32"/>
        </w:rPr>
        <w:t>同时</w:t>
      </w:r>
      <w:r>
        <w:rPr>
          <w:rFonts w:ascii="仿宋_GB2312" w:eastAsia="仿宋_GB2312"/>
          <w:sz w:val="32"/>
          <w:szCs w:val="32"/>
        </w:rPr>
        <w:t>强化对不合格产品的跟踪</w:t>
      </w:r>
      <w:r>
        <w:rPr>
          <w:rFonts w:ascii="仿宋_GB2312" w:eastAsia="仿宋_GB2312" w:hint="eastAsia"/>
          <w:sz w:val="32"/>
          <w:szCs w:val="32"/>
        </w:rPr>
        <w:t>检测</w:t>
      </w:r>
      <w:r>
        <w:rPr>
          <w:rFonts w:ascii="仿宋_GB2312" w:eastAsia="仿宋_GB2312"/>
          <w:sz w:val="32"/>
          <w:szCs w:val="32"/>
        </w:rPr>
        <w:t>；坚持检管结合，将日常监管与抽样检测结合起来，及时将</w:t>
      </w:r>
      <w:r>
        <w:rPr>
          <w:rFonts w:ascii="仿宋_GB2312" w:eastAsia="仿宋_GB2312" w:hint="eastAsia"/>
          <w:sz w:val="32"/>
          <w:szCs w:val="32"/>
        </w:rPr>
        <w:t>抽检</w:t>
      </w:r>
      <w:r>
        <w:rPr>
          <w:rFonts w:ascii="仿宋_GB2312" w:eastAsia="仿宋_GB2312"/>
          <w:sz w:val="32"/>
          <w:szCs w:val="32"/>
        </w:rPr>
        <w:t>监测发现的问题转化为监管重点</w:t>
      </w:r>
      <w:r>
        <w:rPr>
          <w:rFonts w:ascii="仿宋_GB2312" w:eastAsia="仿宋_GB2312" w:hint="eastAsia"/>
          <w:sz w:val="32"/>
          <w:szCs w:val="32"/>
        </w:rPr>
        <w:t>，</w:t>
      </w:r>
      <w:r w:rsidR="0029631E">
        <w:rPr>
          <w:rFonts w:ascii="仿宋_GB2312" w:eastAsia="仿宋_GB2312" w:hint="eastAsia"/>
          <w:sz w:val="32"/>
          <w:szCs w:val="32"/>
        </w:rPr>
        <w:t>提高</w:t>
      </w:r>
      <w:r w:rsidR="0029631E">
        <w:rPr>
          <w:rFonts w:ascii="仿宋_GB2312" w:eastAsia="仿宋_GB2312"/>
          <w:sz w:val="32"/>
          <w:szCs w:val="32"/>
        </w:rPr>
        <w:t>监管</w:t>
      </w:r>
      <w:r w:rsidR="0029631E">
        <w:rPr>
          <w:rFonts w:ascii="仿宋_GB2312" w:eastAsia="仿宋_GB2312" w:hint="eastAsia"/>
          <w:sz w:val="32"/>
          <w:szCs w:val="32"/>
        </w:rPr>
        <w:t>效能</w:t>
      </w:r>
      <w:r w:rsidR="0029631E">
        <w:rPr>
          <w:rFonts w:ascii="仿宋_GB2312" w:eastAsia="仿宋_GB2312"/>
          <w:sz w:val="32"/>
          <w:szCs w:val="32"/>
        </w:rPr>
        <w:t>和</w:t>
      </w:r>
      <w:r w:rsidR="0029631E">
        <w:rPr>
          <w:rFonts w:ascii="仿宋_GB2312" w:eastAsia="仿宋_GB2312" w:hint="eastAsia"/>
          <w:sz w:val="32"/>
          <w:szCs w:val="32"/>
        </w:rPr>
        <w:t>治理水平</w:t>
      </w:r>
      <w:r w:rsidR="0029631E">
        <w:rPr>
          <w:rFonts w:ascii="仿宋_GB2312" w:eastAsia="仿宋_GB2312"/>
          <w:sz w:val="32"/>
          <w:szCs w:val="32"/>
        </w:rPr>
        <w:t>，</w:t>
      </w:r>
      <w:r>
        <w:rPr>
          <w:rFonts w:ascii="仿宋_GB2312" w:eastAsia="仿宋_GB2312"/>
          <w:sz w:val="32"/>
          <w:szCs w:val="32"/>
        </w:rPr>
        <w:t>切实发挥抽检监测的技术</w:t>
      </w:r>
      <w:r>
        <w:rPr>
          <w:rFonts w:ascii="仿宋_GB2312" w:eastAsia="仿宋_GB2312" w:hint="eastAsia"/>
          <w:sz w:val="32"/>
          <w:szCs w:val="32"/>
        </w:rPr>
        <w:t>支撑</w:t>
      </w:r>
      <w:r>
        <w:rPr>
          <w:rFonts w:ascii="仿宋_GB2312" w:eastAsia="仿宋_GB2312"/>
          <w:sz w:val="32"/>
          <w:szCs w:val="32"/>
        </w:rPr>
        <w:t>作用。</w:t>
      </w:r>
    </w:p>
    <w:p w:rsidR="000B276D" w:rsidRDefault="000B276D" w:rsidP="000B276D">
      <w:pPr>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w:t>
      </w:r>
      <w:r w:rsidR="004370F9">
        <w:rPr>
          <w:rFonts w:ascii="仿宋_GB2312" w:eastAsia="仿宋_GB2312" w:hint="eastAsia"/>
          <w:b/>
          <w:sz w:val="32"/>
          <w:szCs w:val="32"/>
        </w:rPr>
        <w:t>抽检</w:t>
      </w:r>
      <w:r>
        <w:rPr>
          <w:rFonts w:ascii="仿宋_GB2312" w:eastAsia="仿宋_GB2312" w:hint="eastAsia"/>
          <w:b/>
          <w:sz w:val="32"/>
          <w:szCs w:val="32"/>
        </w:rPr>
        <w:t>品</w:t>
      </w:r>
      <w:r w:rsidR="004370F9">
        <w:rPr>
          <w:rFonts w:ascii="仿宋_GB2312" w:eastAsia="仿宋_GB2312" w:hint="eastAsia"/>
          <w:b/>
          <w:sz w:val="32"/>
          <w:szCs w:val="32"/>
        </w:rPr>
        <w:t>种及批次</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以粮食加工品、食用油、调味品、肉制品、乳制品、饮</w:t>
      </w:r>
      <w:r>
        <w:rPr>
          <w:rFonts w:ascii="仿宋_GB2312" w:eastAsia="仿宋_GB2312" w:hint="eastAsia"/>
          <w:sz w:val="32"/>
          <w:szCs w:val="32"/>
        </w:rPr>
        <w:lastRenderedPageBreak/>
        <w:t>料、方便食品、饼干、罐头、冷冻饮品、速冻食品、薯类和膨化食品、糖果制品、</w:t>
      </w:r>
      <w:hyperlink r:id="rId7" w:tgtFrame="http://www.39yst.com/xinwen/_blank" w:history="1">
        <w:r>
          <w:rPr>
            <w:rStyle w:val="a5"/>
            <w:rFonts w:ascii="仿宋_GB2312" w:eastAsia="仿宋_GB2312" w:hint="eastAsia"/>
            <w:color w:val="000000" w:themeColor="text1"/>
            <w:sz w:val="32"/>
            <w:szCs w:val="32"/>
            <w:u w:val="none"/>
          </w:rPr>
          <w:t>茶叶</w:t>
        </w:r>
      </w:hyperlink>
      <w:r>
        <w:rPr>
          <w:rFonts w:ascii="仿宋_GB2312" w:eastAsia="仿宋_GB2312" w:hint="eastAsia"/>
          <w:sz w:val="32"/>
          <w:szCs w:val="32"/>
        </w:rPr>
        <w:t>及相关制品、酒类、蔬菜制品、水果制品、炒货食品及坚果制品、蛋制品、食糖、水产制品、淀粉及淀粉制品、糕点、豆制品、蜂产品、餐饮食品、</w:t>
      </w:r>
      <w:r w:rsidR="00F15B7A">
        <w:rPr>
          <w:rFonts w:ascii="仿宋_GB2312" w:eastAsia="仿宋_GB2312" w:hint="eastAsia"/>
          <w:sz w:val="32"/>
          <w:szCs w:val="32"/>
        </w:rPr>
        <w:t>保健</w:t>
      </w:r>
      <w:r w:rsidR="00F15B7A">
        <w:rPr>
          <w:rFonts w:ascii="仿宋_GB2312" w:eastAsia="仿宋_GB2312"/>
          <w:sz w:val="32"/>
          <w:szCs w:val="32"/>
        </w:rPr>
        <w:t>食品、</w:t>
      </w:r>
      <w:r>
        <w:rPr>
          <w:rFonts w:ascii="仿宋_GB2312" w:eastAsia="仿宋_GB2312" w:hint="eastAsia"/>
          <w:sz w:val="32"/>
          <w:szCs w:val="32"/>
        </w:rPr>
        <w:t>食用农产品等</w:t>
      </w:r>
      <w:r w:rsidR="00EE560F">
        <w:rPr>
          <w:rFonts w:ascii="仿宋_GB2312" w:eastAsia="仿宋_GB2312"/>
          <w:sz w:val="32"/>
          <w:szCs w:val="32"/>
        </w:rPr>
        <w:t>28</w:t>
      </w:r>
      <w:r>
        <w:rPr>
          <w:rFonts w:ascii="仿宋_GB2312" w:eastAsia="仿宋_GB2312" w:hint="eastAsia"/>
          <w:sz w:val="32"/>
          <w:szCs w:val="32"/>
        </w:rPr>
        <w:t>大类食品</w:t>
      </w:r>
      <w:r>
        <w:rPr>
          <w:rFonts w:ascii="仿宋_GB2312" w:eastAsia="仿宋_GB2312"/>
          <w:sz w:val="32"/>
          <w:szCs w:val="32"/>
        </w:rPr>
        <w:t>为重点</w:t>
      </w:r>
      <w:r>
        <w:rPr>
          <w:rFonts w:ascii="仿宋_GB2312" w:eastAsia="仿宋_GB2312" w:hint="eastAsia"/>
          <w:sz w:val="32"/>
          <w:szCs w:val="32"/>
        </w:rPr>
        <w:t>。</w:t>
      </w:r>
    </w:p>
    <w:p w:rsidR="000B276D" w:rsidRDefault="000B276D" w:rsidP="000B276D">
      <w:pPr>
        <w:ind w:firstLineChars="200" w:firstLine="640"/>
        <w:rPr>
          <w:rFonts w:ascii="仿宋_GB2312" w:eastAsia="仿宋_GB2312"/>
          <w:sz w:val="32"/>
          <w:szCs w:val="32"/>
        </w:rPr>
      </w:pPr>
      <w:r w:rsidRPr="00D46994">
        <w:rPr>
          <w:rFonts w:ascii="仿宋_GB2312" w:eastAsia="仿宋_GB2312" w:hint="eastAsia"/>
          <w:sz w:val="32"/>
          <w:szCs w:val="32"/>
        </w:rPr>
        <w:t>全年计划抽检</w:t>
      </w:r>
      <w:r w:rsidR="00D46994" w:rsidRPr="00D46994">
        <w:rPr>
          <w:rFonts w:ascii="仿宋_GB2312" w:eastAsia="仿宋_GB2312"/>
          <w:sz w:val="32"/>
          <w:szCs w:val="32"/>
        </w:rPr>
        <w:t>4300</w:t>
      </w:r>
      <w:r w:rsidRPr="00D46994">
        <w:rPr>
          <w:rFonts w:ascii="仿宋_GB2312" w:eastAsia="仿宋_GB2312" w:hint="eastAsia"/>
          <w:sz w:val="32"/>
          <w:szCs w:val="32"/>
        </w:rPr>
        <w:t>个批次</w:t>
      </w:r>
      <w:r w:rsidR="00CE5815">
        <w:rPr>
          <w:rFonts w:ascii="仿宋_GB2312" w:eastAsia="仿宋_GB2312" w:hint="eastAsia"/>
          <w:sz w:val="32"/>
          <w:szCs w:val="32"/>
        </w:rPr>
        <w:t>。</w:t>
      </w:r>
    </w:p>
    <w:p w:rsidR="000B276D" w:rsidRDefault="000B276D" w:rsidP="000B276D">
      <w:pPr>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w:t>
      </w:r>
      <w:r>
        <w:rPr>
          <w:rFonts w:ascii="仿宋_GB2312" w:eastAsia="仿宋_GB2312" w:hint="eastAsia"/>
          <w:b/>
          <w:sz w:val="32"/>
          <w:szCs w:val="32"/>
        </w:rPr>
        <w:t>检验项目</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检验项目以食品安全国家标准项目为主，食品品质项目为辅，重点检测污染物、</w:t>
      </w:r>
      <w:r>
        <w:rPr>
          <w:rFonts w:ascii="仿宋_GB2312" w:eastAsia="仿宋_GB2312"/>
          <w:sz w:val="32"/>
          <w:szCs w:val="32"/>
        </w:rPr>
        <w:t>有毒有害成分</w:t>
      </w:r>
      <w:r>
        <w:rPr>
          <w:rFonts w:ascii="仿宋_GB2312" w:eastAsia="仿宋_GB2312" w:hint="eastAsia"/>
          <w:sz w:val="32"/>
          <w:szCs w:val="32"/>
        </w:rPr>
        <w:t>、农兽药残留、非法添加和滥用食品添加剂及理化指标等</w:t>
      </w:r>
      <w:r w:rsidR="00110BFB">
        <w:rPr>
          <w:rFonts w:ascii="仿宋_GB2312" w:eastAsia="仿宋_GB2312" w:hint="eastAsia"/>
          <w:sz w:val="32"/>
          <w:szCs w:val="32"/>
        </w:rPr>
        <w:t>，</w:t>
      </w:r>
      <w:r w:rsidR="00110BFB">
        <w:rPr>
          <w:rFonts w:ascii="仿宋_GB2312" w:eastAsia="仿宋_GB2312"/>
          <w:sz w:val="32"/>
          <w:szCs w:val="32"/>
        </w:rPr>
        <w:t>同时必须满足省抽</w:t>
      </w:r>
      <w:r w:rsidR="00110BFB">
        <w:rPr>
          <w:rFonts w:ascii="仿宋_GB2312" w:eastAsia="仿宋_GB2312" w:hint="eastAsia"/>
          <w:sz w:val="32"/>
          <w:szCs w:val="32"/>
        </w:rPr>
        <w:t>检测</w:t>
      </w:r>
      <w:r w:rsidR="00110BFB">
        <w:rPr>
          <w:rFonts w:ascii="仿宋_GB2312" w:eastAsia="仿宋_GB2312"/>
          <w:sz w:val="32"/>
          <w:szCs w:val="32"/>
        </w:rPr>
        <w:t>项目</w:t>
      </w:r>
      <w:r w:rsidR="00110BFB">
        <w:rPr>
          <w:rFonts w:ascii="仿宋_GB2312" w:eastAsia="仿宋_GB2312" w:hint="eastAsia"/>
          <w:sz w:val="32"/>
          <w:szCs w:val="32"/>
        </w:rPr>
        <w:t>60</w:t>
      </w:r>
      <w:r w:rsidR="00110BFB">
        <w:rPr>
          <w:rFonts w:ascii="仿宋_GB2312" w:eastAsia="仿宋_GB2312"/>
          <w:sz w:val="32"/>
          <w:szCs w:val="32"/>
        </w:rPr>
        <w:t>%以上</w:t>
      </w:r>
      <w:r>
        <w:rPr>
          <w:rFonts w:ascii="仿宋_GB2312" w:eastAsia="仿宋_GB2312" w:hint="eastAsia"/>
          <w:sz w:val="32"/>
          <w:szCs w:val="32"/>
        </w:rPr>
        <w:t>。</w:t>
      </w:r>
    </w:p>
    <w:p w:rsidR="000B276D" w:rsidRDefault="000B276D" w:rsidP="000B276D">
      <w:pPr>
        <w:ind w:firstLineChars="200" w:firstLine="643"/>
        <w:rPr>
          <w:rFonts w:ascii="仿宋_GB2312" w:eastAsia="仿宋_GB2312"/>
          <w:b/>
          <w:sz w:val="32"/>
          <w:szCs w:val="32"/>
        </w:rPr>
      </w:pPr>
      <w:r>
        <w:rPr>
          <w:rFonts w:ascii="仿宋_GB2312" w:eastAsia="仿宋_GB2312" w:hint="eastAsia"/>
          <w:b/>
          <w:sz w:val="32"/>
          <w:szCs w:val="32"/>
        </w:rPr>
        <w:t>四</w:t>
      </w:r>
      <w:r>
        <w:rPr>
          <w:rFonts w:ascii="仿宋_GB2312" w:eastAsia="仿宋_GB2312"/>
          <w:b/>
          <w:sz w:val="32"/>
          <w:szCs w:val="32"/>
        </w:rPr>
        <w:t>、</w:t>
      </w:r>
      <w:r>
        <w:rPr>
          <w:rFonts w:ascii="仿宋_GB2312" w:eastAsia="仿宋_GB2312" w:hint="eastAsia"/>
          <w:b/>
          <w:sz w:val="32"/>
          <w:szCs w:val="32"/>
        </w:rPr>
        <w:t>抽检对象</w:t>
      </w:r>
    </w:p>
    <w:p w:rsidR="000B276D" w:rsidRDefault="000B276D" w:rsidP="00754722">
      <w:pPr>
        <w:ind w:firstLineChars="200" w:firstLine="640"/>
        <w:rPr>
          <w:rFonts w:ascii="仿宋_GB2312" w:eastAsia="仿宋_GB2312"/>
          <w:sz w:val="32"/>
          <w:szCs w:val="32"/>
        </w:rPr>
      </w:pPr>
      <w:r>
        <w:rPr>
          <w:rFonts w:ascii="仿宋_GB2312" w:eastAsia="仿宋_GB2312" w:hint="eastAsia"/>
          <w:sz w:val="32"/>
          <w:szCs w:val="32"/>
        </w:rPr>
        <w:t>抽检</w:t>
      </w:r>
      <w:r w:rsidR="00314D6C">
        <w:rPr>
          <w:rFonts w:ascii="仿宋_GB2312" w:eastAsia="仿宋_GB2312" w:hint="eastAsia"/>
          <w:sz w:val="32"/>
          <w:szCs w:val="32"/>
        </w:rPr>
        <w:t>应</w:t>
      </w:r>
      <w:r w:rsidR="00314D6C">
        <w:rPr>
          <w:rFonts w:ascii="仿宋_GB2312" w:eastAsia="仿宋_GB2312"/>
          <w:sz w:val="32"/>
          <w:szCs w:val="32"/>
        </w:rPr>
        <w:t>覆盖</w:t>
      </w:r>
      <w:r>
        <w:rPr>
          <w:rFonts w:ascii="仿宋_GB2312" w:eastAsia="仿宋_GB2312" w:hint="eastAsia"/>
          <w:sz w:val="32"/>
          <w:szCs w:val="32"/>
        </w:rPr>
        <w:t>食品生产企业、流通单位、餐饮服务单位，适度加大对小作坊、小餐饮、小摊贩的抽检力度</w:t>
      </w:r>
      <w:r w:rsidR="00754722">
        <w:rPr>
          <w:rFonts w:ascii="仿宋_GB2312" w:eastAsia="仿宋_GB2312" w:hint="eastAsia"/>
          <w:sz w:val="32"/>
          <w:szCs w:val="32"/>
        </w:rPr>
        <w:t>。</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生产环节：食品及食品添加剂获证生产企业、食品生产加工小作坊，尤其要加强对市场占有率高、区域特色明显的企业的抽检。</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流通环节：食品及食用农产品批发市场、农贸市场、商场、超市、小食杂店、本地特色食品经营店等。</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餐饮环节：学校和托幼机构食堂、集体用餐配送单位、企事业单位食堂、旅游景区餐饮服务单位、高速路服务区、大中型餐饮服务单位、小餐饮店等。</w:t>
      </w:r>
    </w:p>
    <w:p w:rsidR="000B276D" w:rsidRDefault="00CE5815" w:rsidP="000B276D">
      <w:pPr>
        <w:ind w:firstLineChars="200" w:firstLine="643"/>
        <w:rPr>
          <w:rFonts w:ascii="仿宋_GB2312" w:eastAsia="仿宋_GB2312"/>
          <w:b/>
          <w:sz w:val="32"/>
          <w:szCs w:val="32"/>
        </w:rPr>
      </w:pPr>
      <w:r>
        <w:rPr>
          <w:rFonts w:ascii="仿宋_GB2312" w:eastAsia="仿宋_GB2312" w:hint="eastAsia"/>
          <w:b/>
          <w:sz w:val="32"/>
          <w:szCs w:val="32"/>
        </w:rPr>
        <w:lastRenderedPageBreak/>
        <w:t>五</w:t>
      </w:r>
      <w:r w:rsidR="000B276D">
        <w:rPr>
          <w:rFonts w:ascii="仿宋_GB2312" w:eastAsia="仿宋_GB2312"/>
          <w:b/>
          <w:sz w:val="32"/>
          <w:szCs w:val="32"/>
        </w:rPr>
        <w:t>、</w:t>
      </w:r>
      <w:r w:rsidR="000B276D">
        <w:rPr>
          <w:rFonts w:ascii="仿宋_GB2312" w:eastAsia="仿宋_GB2312" w:hint="eastAsia"/>
          <w:b/>
          <w:sz w:val="32"/>
          <w:szCs w:val="32"/>
        </w:rPr>
        <w:t>抽检区域、环节和场所</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抽样覆盖本行政区域内镇、街和村居，加大对食品生产聚集区、食品及食用农产品集中交易市场、食品问题多发区、中小型集体餐饮场所，以及农村、城乡结合部、中小学校园及周边等重点区域食品的抽检力度。</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抽检的样品主要在流通环节购买。</w:t>
      </w:r>
      <w:r w:rsidR="00754722">
        <w:rPr>
          <w:rFonts w:ascii="仿宋_GB2312" w:eastAsia="仿宋_GB2312" w:hint="eastAsia"/>
          <w:sz w:val="32"/>
          <w:szCs w:val="32"/>
        </w:rPr>
        <w:t>流通</w:t>
      </w:r>
      <w:r>
        <w:rPr>
          <w:rFonts w:ascii="仿宋_GB2312" w:eastAsia="仿宋_GB2312" w:hint="eastAsia"/>
          <w:sz w:val="32"/>
          <w:szCs w:val="32"/>
        </w:rPr>
        <w:t>环节未抽到的样品，可在</w:t>
      </w:r>
      <w:r w:rsidR="00754722">
        <w:rPr>
          <w:rFonts w:ascii="仿宋_GB2312" w:eastAsia="仿宋_GB2312" w:hint="eastAsia"/>
          <w:sz w:val="32"/>
          <w:szCs w:val="32"/>
        </w:rPr>
        <w:t>生产</w:t>
      </w:r>
      <w:r>
        <w:rPr>
          <w:rFonts w:ascii="仿宋_GB2312" w:eastAsia="仿宋_GB2312" w:hint="eastAsia"/>
          <w:sz w:val="32"/>
          <w:szCs w:val="32"/>
        </w:rPr>
        <w:t>环节抽取。流通环节采样应涵盖批发市场、农贸市场、集贸市场、商场、超市、小食杂店等不同业态。加大食品总代理商、专卖店、企业的抽检频次。餐饮环节采样重点为学校和托幼机构食堂、中央厨房、集体用餐配送单位、高速路服务区、“年夜饭”接待单位、重大活动保障单位和旅游景区餐饮服务单位等。生产环节要加强对市场占有率高、区域特色明显的食品企业及食品生产加工小作坊的抽检，在生产企业成品库抽样，按照企业获证单元确定抽样批次，原则上每</w:t>
      </w:r>
      <w:r>
        <w:rPr>
          <w:rFonts w:ascii="仿宋_GB2312" w:eastAsia="仿宋_GB2312"/>
          <w:sz w:val="32"/>
          <w:szCs w:val="32"/>
        </w:rPr>
        <w:t>自然年度内</w:t>
      </w:r>
      <w:r>
        <w:rPr>
          <w:rFonts w:ascii="仿宋_GB2312" w:eastAsia="仿宋_GB2312" w:hint="eastAsia"/>
          <w:sz w:val="32"/>
          <w:szCs w:val="32"/>
        </w:rPr>
        <w:t>生产企业的每个获证单元应抽取1批次样品。</w:t>
      </w:r>
    </w:p>
    <w:p w:rsidR="000B276D" w:rsidRDefault="000B276D" w:rsidP="000B276D">
      <w:pPr>
        <w:ind w:firstLineChars="200" w:firstLine="640"/>
        <w:rPr>
          <w:rFonts w:ascii="仿宋_GB2312" w:eastAsia="仿宋_GB2312"/>
          <w:sz w:val="32"/>
          <w:szCs w:val="32"/>
        </w:rPr>
      </w:pPr>
      <w:r>
        <w:rPr>
          <w:rFonts w:ascii="仿宋_GB2312" w:eastAsia="仿宋_GB2312" w:hint="eastAsia"/>
          <w:sz w:val="32"/>
          <w:szCs w:val="32"/>
        </w:rPr>
        <w:t>食用农产品抽样主要集中于本行政区域内的农产品批发市场、农贸市场、集贸市场、商场超市等食品经营单位。</w:t>
      </w:r>
    </w:p>
    <w:p w:rsidR="00110BFB" w:rsidRPr="00154EA7" w:rsidRDefault="00110BFB" w:rsidP="00110BFB">
      <w:pPr>
        <w:ind w:firstLine="630"/>
        <w:rPr>
          <w:rFonts w:ascii="仿宋_GB2312" w:eastAsia="仿宋_GB2312" w:hAnsi="宋体" w:cs="Arial"/>
          <w:b/>
          <w:sz w:val="32"/>
          <w:szCs w:val="32"/>
        </w:rPr>
      </w:pPr>
      <w:r w:rsidRPr="00154EA7">
        <w:rPr>
          <w:rFonts w:ascii="仿宋_GB2312" w:eastAsia="仿宋_GB2312" w:hAnsi="宋体" w:cs="Arial" w:hint="eastAsia"/>
          <w:b/>
          <w:sz w:val="32"/>
          <w:szCs w:val="32"/>
        </w:rPr>
        <w:t>七、检验</w:t>
      </w:r>
    </w:p>
    <w:p w:rsidR="00110BFB" w:rsidRDefault="00110BFB" w:rsidP="00110BFB">
      <w:pPr>
        <w:ind w:firstLine="630"/>
        <w:rPr>
          <w:rFonts w:ascii="仿宋_GB2312" w:eastAsia="仿宋_GB2312" w:hAnsi="宋体" w:cs="Arial"/>
          <w:sz w:val="32"/>
          <w:szCs w:val="32"/>
        </w:rPr>
      </w:pPr>
      <w:r>
        <w:rPr>
          <w:rFonts w:ascii="仿宋_GB2312" w:eastAsia="仿宋_GB2312" w:hAnsi="宋体" w:cs="Arial" w:hint="eastAsia"/>
          <w:sz w:val="32"/>
          <w:szCs w:val="32"/>
        </w:rPr>
        <w:t>1.样品检验。承检机构应按《食品安全监督抽检实施细则（</w:t>
      </w:r>
      <w:r w:rsidR="0029631E">
        <w:rPr>
          <w:rFonts w:ascii="仿宋_GB2312" w:eastAsia="仿宋_GB2312" w:hAnsi="宋体" w:cs="Arial" w:hint="eastAsia"/>
          <w:sz w:val="32"/>
          <w:szCs w:val="32"/>
        </w:rPr>
        <w:t>2021</w:t>
      </w:r>
      <w:r>
        <w:rPr>
          <w:rFonts w:ascii="仿宋_GB2312" w:eastAsia="仿宋_GB2312" w:hAnsi="宋体" w:cs="Arial" w:hint="eastAsia"/>
          <w:sz w:val="32"/>
          <w:szCs w:val="32"/>
        </w:rPr>
        <w:t>版）》规定的检验方法、判定依据开展检验工作。检验过程必须做好质量控制，保证数据的客观、准确。规范</w:t>
      </w:r>
      <w:r>
        <w:rPr>
          <w:rFonts w:ascii="仿宋_GB2312" w:eastAsia="仿宋_GB2312" w:hAnsi="宋体" w:cs="Arial" w:hint="eastAsia"/>
          <w:sz w:val="32"/>
          <w:szCs w:val="32"/>
        </w:rPr>
        <w:lastRenderedPageBreak/>
        <w:t>录入检测数据和判定结果。原则上应于接收样品后15个工作日内完成检验。</w:t>
      </w:r>
    </w:p>
    <w:p w:rsidR="00110BFB" w:rsidRDefault="00110BFB" w:rsidP="00110BFB">
      <w:pPr>
        <w:ind w:firstLine="630"/>
        <w:rPr>
          <w:rFonts w:ascii="仿宋_GB2312" w:eastAsia="仿宋_GB2312" w:hAnsi="宋体" w:cs="Arial"/>
          <w:sz w:val="32"/>
          <w:szCs w:val="32"/>
        </w:rPr>
      </w:pPr>
      <w:r>
        <w:rPr>
          <w:rFonts w:ascii="仿宋_GB2312" w:eastAsia="仿宋_GB2312" w:hAnsi="宋体" w:cs="Arial" w:hint="eastAsia"/>
          <w:sz w:val="32"/>
          <w:szCs w:val="32"/>
        </w:rPr>
        <w:t>2.数据报送。所有食用农产品、食品及食品相关产品监督抽检抽样、检验数据、核查处置等录入国家食品安全抽检监测信息系统（国抽系统）。承检机构完成检验后将检验数据和检验结果分析报告于检验完成5日内报送下达计划</w:t>
      </w:r>
      <w:r>
        <w:rPr>
          <w:rFonts w:ascii="仿宋_GB2312" w:eastAsia="仿宋_GB2312" w:hAnsi="宋体" w:cs="Arial"/>
          <w:sz w:val="32"/>
          <w:szCs w:val="32"/>
        </w:rPr>
        <w:t>的市场监管部门</w:t>
      </w:r>
      <w:r>
        <w:rPr>
          <w:rFonts w:ascii="仿宋_GB2312" w:eastAsia="仿宋_GB2312" w:hAnsi="宋体" w:cs="Arial" w:hint="eastAsia"/>
          <w:sz w:val="32"/>
          <w:szCs w:val="32"/>
        </w:rPr>
        <w:t>。</w:t>
      </w:r>
    </w:p>
    <w:p w:rsidR="00110BFB" w:rsidRPr="00154EA7" w:rsidRDefault="00110BFB" w:rsidP="00110BFB">
      <w:pPr>
        <w:ind w:firstLine="630"/>
        <w:rPr>
          <w:rFonts w:ascii="仿宋_GB2312" w:eastAsia="仿宋_GB2312" w:hAnsi="宋体" w:cs="Arial"/>
          <w:b/>
          <w:sz w:val="32"/>
          <w:szCs w:val="32"/>
        </w:rPr>
      </w:pPr>
      <w:r w:rsidRPr="00154EA7">
        <w:rPr>
          <w:rFonts w:ascii="仿宋_GB2312" w:eastAsia="仿宋_GB2312" w:hAnsi="宋体" w:cs="Arial" w:hint="eastAsia"/>
          <w:b/>
          <w:sz w:val="32"/>
          <w:szCs w:val="32"/>
        </w:rPr>
        <w:t>八、核查处置</w:t>
      </w:r>
    </w:p>
    <w:p w:rsidR="007D03A7" w:rsidRDefault="00110BFB" w:rsidP="000A7E13">
      <w:pPr>
        <w:ind w:firstLine="630"/>
        <w:rPr>
          <w:rFonts w:ascii="仿宋_GB2312" w:eastAsia="仿宋_GB2312" w:hAnsi="宋体" w:cs="Arial"/>
          <w:sz w:val="32"/>
          <w:szCs w:val="32"/>
        </w:rPr>
      </w:pPr>
      <w:r>
        <w:rPr>
          <w:rFonts w:ascii="仿宋_GB2312" w:eastAsia="仿宋_GB2312" w:hAnsi="宋体" w:cs="Arial" w:hint="eastAsia"/>
          <w:sz w:val="32"/>
          <w:szCs w:val="32"/>
        </w:rPr>
        <w:t>负责</w:t>
      </w:r>
      <w:r>
        <w:rPr>
          <w:rFonts w:ascii="仿宋_GB2312" w:eastAsia="仿宋_GB2312" w:hAnsi="宋体" w:cs="Arial"/>
          <w:sz w:val="32"/>
          <w:szCs w:val="32"/>
        </w:rPr>
        <w:t>核查处置部门在</w:t>
      </w:r>
      <w:r>
        <w:rPr>
          <w:rFonts w:ascii="仿宋_GB2312" w:eastAsia="仿宋_GB2312" w:hAnsi="宋体" w:cs="Arial" w:hint="eastAsia"/>
          <w:sz w:val="32"/>
          <w:szCs w:val="32"/>
        </w:rPr>
        <w:t>收到不合格食品检验报告后，应根据《食品药品监管总局关于进一步加强监督抽检不合格食品风险防控和核查处置工作的通知》（食药监食监三〔2017〕42号）等规定，在5个工作日内启动对不合格食品及其生产经</w:t>
      </w:r>
    </w:p>
    <w:p w:rsidR="00DA3B09" w:rsidRDefault="00DA3B09" w:rsidP="00DA3B09">
      <w:pPr>
        <w:rPr>
          <w:rFonts w:ascii="仿宋_GB2312" w:eastAsia="仿宋_GB2312" w:hAnsi="宋体"/>
          <w:noProof/>
          <w:sz w:val="32"/>
          <w:szCs w:val="32"/>
        </w:rPr>
      </w:pPr>
      <w:r>
        <w:rPr>
          <w:rFonts w:ascii="仿宋_GB2312" w:eastAsia="仿宋_GB2312" w:hAnsi="宋体" w:hint="eastAsia"/>
          <w:noProof/>
          <w:sz w:val="32"/>
          <w:szCs w:val="32"/>
        </w:rPr>
        <w:t>营</w:t>
      </w:r>
      <w:r>
        <w:rPr>
          <w:rFonts w:ascii="仿宋_GB2312" w:eastAsia="仿宋_GB2312" w:hAnsi="宋体"/>
          <w:noProof/>
          <w:sz w:val="32"/>
          <w:szCs w:val="32"/>
        </w:rPr>
        <w:t>者的风险防控和核查处置，并在</w:t>
      </w:r>
      <w:r>
        <w:rPr>
          <w:rFonts w:ascii="仿宋_GB2312" w:eastAsia="仿宋_GB2312" w:hAnsi="宋体" w:hint="eastAsia"/>
          <w:noProof/>
          <w:sz w:val="32"/>
          <w:szCs w:val="32"/>
        </w:rPr>
        <w:t>规定</w:t>
      </w:r>
      <w:r>
        <w:rPr>
          <w:rFonts w:ascii="仿宋_GB2312" w:eastAsia="仿宋_GB2312" w:hAnsi="宋体"/>
          <w:noProof/>
          <w:sz w:val="32"/>
          <w:szCs w:val="32"/>
        </w:rPr>
        <w:t>时限内将核查处置情况填报国家食品安全抽检</w:t>
      </w:r>
      <w:r>
        <w:rPr>
          <w:rFonts w:ascii="仿宋_GB2312" w:eastAsia="仿宋_GB2312" w:hAnsi="宋体" w:hint="eastAsia"/>
          <w:noProof/>
          <w:sz w:val="32"/>
          <w:szCs w:val="32"/>
        </w:rPr>
        <w:t>监测</w:t>
      </w:r>
      <w:r>
        <w:rPr>
          <w:rFonts w:ascii="仿宋_GB2312" w:eastAsia="仿宋_GB2312" w:hAnsi="宋体"/>
          <w:noProof/>
          <w:sz w:val="32"/>
          <w:szCs w:val="32"/>
        </w:rPr>
        <w:t>信息系统。收到不合格</w:t>
      </w:r>
      <w:r>
        <w:rPr>
          <w:rFonts w:ascii="仿宋_GB2312" w:eastAsia="仿宋_GB2312" w:hAnsi="宋体" w:hint="eastAsia"/>
          <w:noProof/>
          <w:sz w:val="32"/>
          <w:szCs w:val="32"/>
        </w:rPr>
        <w:t>样品</w:t>
      </w:r>
      <w:r>
        <w:rPr>
          <w:rFonts w:ascii="仿宋_GB2312" w:eastAsia="仿宋_GB2312" w:hAnsi="宋体"/>
          <w:noProof/>
          <w:sz w:val="32"/>
          <w:szCs w:val="32"/>
        </w:rPr>
        <w:t>涉及省外企业的直接寄送到标称企业生产地址所在市县市场监管部门。</w:t>
      </w:r>
    </w:p>
    <w:p w:rsidR="00DA3B09" w:rsidRPr="00154EA7" w:rsidRDefault="00DA3B09" w:rsidP="00DA3B09">
      <w:pPr>
        <w:ind w:firstLine="645"/>
        <w:rPr>
          <w:rFonts w:ascii="仿宋_GB2312" w:eastAsia="仿宋_GB2312" w:hAnsi="宋体"/>
          <w:b/>
          <w:noProof/>
          <w:sz w:val="32"/>
          <w:szCs w:val="32"/>
        </w:rPr>
      </w:pPr>
      <w:r w:rsidRPr="00154EA7">
        <w:rPr>
          <w:rFonts w:ascii="仿宋_GB2312" w:eastAsia="仿宋_GB2312" w:hAnsi="宋体" w:hint="eastAsia"/>
          <w:b/>
          <w:noProof/>
          <w:sz w:val="32"/>
          <w:szCs w:val="32"/>
        </w:rPr>
        <w:t>九</w:t>
      </w:r>
      <w:r w:rsidRPr="00154EA7">
        <w:rPr>
          <w:rFonts w:ascii="仿宋_GB2312" w:eastAsia="仿宋_GB2312" w:hAnsi="宋体"/>
          <w:b/>
          <w:noProof/>
          <w:sz w:val="32"/>
          <w:szCs w:val="32"/>
        </w:rPr>
        <w:t>、工作要求</w:t>
      </w:r>
    </w:p>
    <w:p w:rsidR="00DA3B09" w:rsidRDefault="00DA3B09" w:rsidP="00DA3B09">
      <w:pPr>
        <w:ind w:firstLineChars="200" w:firstLine="640"/>
        <w:rPr>
          <w:rFonts w:ascii="仿宋_GB2312" w:eastAsia="仿宋_GB2312"/>
          <w:sz w:val="32"/>
          <w:szCs w:val="32"/>
        </w:rPr>
      </w:pPr>
      <w:r>
        <w:rPr>
          <w:rFonts w:ascii="仿宋_GB2312" w:eastAsia="仿宋_GB2312" w:hint="eastAsia"/>
          <w:sz w:val="32"/>
          <w:szCs w:val="32"/>
        </w:rPr>
        <w:t>抽检科室、承检机构及其工作人员，应严格按照国家总局《食品安全抽样检验管理办法》《食品安全监督抽检和风险监测工作规范》《食品安全监督抽检和风险监测承检机构管理规定》《食品安全监督抽检和风险监测实施细则》和省局有关文件等要求，统筹安排，计划部署，切实做好抽样检验工</w:t>
      </w:r>
      <w:r>
        <w:rPr>
          <w:rFonts w:ascii="仿宋_GB2312" w:eastAsia="仿宋_GB2312" w:hint="eastAsia"/>
          <w:sz w:val="32"/>
          <w:szCs w:val="32"/>
        </w:rPr>
        <w:lastRenderedPageBreak/>
        <w:t>作，检验结果应及时报送和公示。通过抽检全面分析和掌握我市的食品质量安全状况，有效防控苗头性食品安全风险，满足人民群众美好生活对安全健康食品的需要，巩固食品安全稳定向好的态势。</w:t>
      </w:r>
    </w:p>
    <w:p w:rsidR="00DA3B09" w:rsidRDefault="00DA3B09" w:rsidP="00DA3B09">
      <w:pPr>
        <w:rPr>
          <w:rFonts w:ascii="仿宋_GB2312" w:eastAsia="仿宋_GB2312" w:hAnsi="宋体"/>
          <w:sz w:val="32"/>
          <w:szCs w:val="32"/>
        </w:rPr>
      </w:pPr>
    </w:p>
    <w:p w:rsidR="00DA3B09" w:rsidRDefault="00DA3B09" w:rsidP="00CE5815">
      <w:pPr>
        <w:spacing w:beforeLines="100" w:before="312"/>
        <w:rPr>
          <w:rFonts w:ascii="仿宋_GB2312" w:eastAsia="仿宋_GB2312" w:hAnsi="宋体"/>
          <w:sz w:val="32"/>
          <w:szCs w:val="32"/>
        </w:rPr>
      </w:pPr>
      <w:r>
        <w:rPr>
          <w:rFonts w:ascii="仿宋_GB2312" w:eastAsia="仿宋_GB2312" w:hAnsi="宋体" w:hint="eastAsia"/>
          <w:sz w:val="32"/>
          <w:szCs w:val="32"/>
        </w:rPr>
        <w:t xml:space="preserve">                               滕州市市场</w:t>
      </w:r>
      <w:r>
        <w:rPr>
          <w:rFonts w:ascii="仿宋_GB2312" w:eastAsia="仿宋_GB2312" w:hAnsi="宋体"/>
          <w:sz w:val="32"/>
          <w:szCs w:val="32"/>
        </w:rPr>
        <w:t>监督管理局</w:t>
      </w:r>
    </w:p>
    <w:p w:rsidR="007D03A7" w:rsidRDefault="00DA3B09" w:rsidP="00CE5815">
      <w:pPr>
        <w:ind w:firstLineChars="1750" w:firstLine="5600"/>
        <w:rPr>
          <w:rFonts w:ascii="仿宋_GB2312" w:eastAsia="仿宋_GB2312" w:hAnsi="宋体" w:cs="Arial" w:hint="eastAsia"/>
          <w:sz w:val="32"/>
          <w:szCs w:val="32"/>
        </w:rPr>
        <w:sectPr w:rsidR="007D03A7" w:rsidSect="007D03A7">
          <w:pgSz w:w="11906" w:h="16838"/>
          <w:pgMar w:top="1440" w:right="1800" w:bottom="1440" w:left="1800" w:header="851" w:footer="992" w:gutter="0"/>
          <w:cols w:space="425"/>
          <w:docGrid w:type="lines" w:linePitch="312"/>
        </w:sectPr>
      </w:pPr>
      <w:r>
        <w:rPr>
          <w:rFonts w:ascii="仿宋_GB2312" w:eastAsia="仿宋_GB2312" w:hAnsi="宋体" w:hint="eastAsia"/>
          <w:sz w:val="32"/>
          <w:szCs w:val="32"/>
        </w:rPr>
        <w:t>2021年</w:t>
      </w:r>
      <w:r>
        <w:rPr>
          <w:rFonts w:ascii="仿宋_GB2312" w:eastAsia="仿宋_GB2312" w:hAnsi="宋体"/>
          <w:sz w:val="32"/>
          <w:szCs w:val="32"/>
        </w:rPr>
        <w:t>3</w:t>
      </w:r>
      <w:r>
        <w:rPr>
          <w:rFonts w:ascii="仿宋_GB2312" w:eastAsia="仿宋_GB2312" w:hAnsi="宋体" w:hint="eastAsia"/>
          <w:sz w:val="32"/>
          <w:szCs w:val="32"/>
        </w:rPr>
        <w:t>月</w:t>
      </w:r>
      <w:bookmarkStart w:id="0" w:name="_GoBack"/>
      <w:bookmarkEnd w:id="0"/>
    </w:p>
    <w:p w:rsidR="0051781D" w:rsidRPr="0051781D" w:rsidRDefault="0051781D" w:rsidP="00CE5815">
      <w:pPr>
        <w:rPr>
          <w:rFonts w:ascii="仿宋_GB2312" w:eastAsia="仿宋_GB2312" w:hint="eastAsia"/>
          <w:sz w:val="32"/>
          <w:szCs w:val="32"/>
        </w:rPr>
      </w:pPr>
    </w:p>
    <w:sectPr w:rsidR="0051781D" w:rsidRPr="0051781D" w:rsidSect="007D03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5E" w:rsidRDefault="00B05C5E" w:rsidP="000B276D">
      <w:r>
        <w:separator/>
      </w:r>
    </w:p>
  </w:endnote>
  <w:endnote w:type="continuationSeparator" w:id="0">
    <w:p w:rsidR="00B05C5E" w:rsidRDefault="00B05C5E" w:rsidP="000B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5E" w:rsidRDefault="00B05C5E" w:rsidP="000B276D">
      <w:r>
        <w:separator/>
      </w:r>
    </w:p>
  </w:footnote>
  <w:footnote w:type="continuationSeparator" w:id="0">
    <w:p w:rsidR="00B05C5E" w:rsidRDefault="00B05C5E" w:rsidP="000B2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8ABE"/>
    <w:multiLevelType w:val="singleLevel"/>
    <w:tmpl w:val="3C1D8AB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3C"/>
    <w:rsid w:val="000572F9"/>
    <w:rsid w:val="000A7E13"/>
    <w:rsid w:val="000B276D"/>
    <w:rsid w:val="000B4F10"/>
    <w:rsid w:val="00110BFB"/>
    <w:rsid w:val="00113865"/>
    <w:rsid w:val="00125DCA"/>
    <w:rsid w:val="00151048"/>
    <w:rsid w:val="00154EA7"/>
    <w:rsid w:val="001F3C21"/>
    <w:rsid w:val="0029631E"/>
    <w:rsid w:val="00314D6C"/>
    <w:rsid w:val="004370F9"/>
    <w:rsid w:val="0049485C"/>
    <w:rsid w:val="004D7C6E"/>
    <w:rsid w:val="004E3522"/>
    <w:rsid w:val="0051781D"/>
    <w:rsid w:val="005D7D64"/>
    <w:rsid w:val="00661249"/>
    <w:rsid w:val="00671CC6"/>
    <w:rsid w:val="00741EA8"/>
    <w:rsid w:val="00754722"/>
    <w:rsid w:val="007714DB"/>
    <w:rsid w:val="007C7616"/>
    <w:rsid w:val="007D03A7"/>
    <w:rsid w:val="008857E9"/>
    <w:rsid w:val="008F087B"/>
    <w:rsid w:val="00904787"/>
    <w:rsid w:val="00934047"/>
    <w:rsid w:val="00977471"/>
    <w:rsid w:val="009B0E3C"/>
    <w:rsid w:val="00A01899"/>
    <w:rsid w:val="00A34E4E"/>
    <w:rsid w:val="00A56799"/>
    <w:rsid w:val="00A73C6A"/>
    <w:rsid w:val="00B05C5E"/>
    <w:rsid w:val="00B24C3F"/>
    <w:rsid w:val="00B51765"/>
    <w:rsid w:val="00BA48EA"/>
    <w:rsid w:val="00BF1A60"/>
    <w:rsid w:val="00CB64ED"/>
    <w:rsid w:val="00CE5815"/>
    <w:rsid w:val="00D40B26"/>
    <w:rsid w:val="00D46994"/>
    <w:rsid w:val="00D82BD9"/>
    <w:rsid w:val="00DA3B09"/>
    <w:rsid w:val="00DE5CA0"/>
    <w:rsid w:val="00E1122F"/>
    <w:rsid w:val="00E95F0C"/>
    <w:rsid w:val="00EB3EFA"/>
    <w:rsid w:val="00ED10F4"/>
    <w:rsid w:val="00EE560F"/>
    <w:rsid w:val="00F11900"/>
    <w:rsid w:val="00F15B7A"/>
    <w:rsid w:val="00F51D39"/>
    <w:rsid w:val="00F87773"/>
    <w:rsid w:val="00FA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D36E2E-D546-40E6-8D67-C3B882FC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7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76D"/>
    <w:rPr>
      <w:sz w:val="18"/>
      <w:szCs w:val="18"/>
    </w:rPr>
  </w:style>
  <w:style w:type="paragraph" w:styleId="a4">
    <w:name w:val="footer"/>
    <w:basedOn w:val="a"/>
    <w:link w:val="Char0"/>
    <w:uiPriority w:val="99"/>
    <w:unhideWhenUsed/>
    <w:rsid w:val="000B276D"/>
    <w:pPr>
      <w:tabs>
        <w:tab w:val="center" w:pos="4153"/>
        <w:tab w:val="right" w:pos="8306"/>
      </w:tabs>
      <w:snapToGrid w:val="0"/>
      <w:jc w:val="left"/>
    </w:pPr>
    <w:rPr>
      <w:sz w:val="18"/>
      <w:szCs w:val="18"/>
    </w:rPr>
  </w:style>
  <w:style w:type="character" w:customStyle="1" w:styleId="Char0">
    <w:name w:val="页脚 Char"/>
    <w:basedOn w:val="a0"/>
    <w:link w:val="a4"/>
    <w:uiPriority w:val="99"/>
    <w:rsid w:val="000B276D"/>
    <w:rPr>
      <w:sz w:val="18"/>
      <w:szCs w:val="18"/>
    </w:rPr>
  </w:style>
  <w:style w:type="character" w:styleId="a5">
    <w:name w:val="Hyperlink"/>
    <w:uiPriority w:val="99"/>
    <w:rsid w:val="000B276D"/>
    <w:rPr>
      <w:color w:val="0000FF"/>
      <w:u w:val="single"/>
    </w:rPr>
  </w:style>
  <w:style w:type="paragraph" w:styleId="a6">
    <w:name w:val="Balloon Text"/>
    <w:basedOn w:val="a"/>
    <w:link w:val="Char1"/>
    <w:uiPriority w:val="99"/>
    <w:unhideWhenUsed/>
    <w:rsid w:val="00754722"/>
    <w:rPr>
      <w:sz w:val="18"/>
      <w:szCs w:val="18"/>
    </w:rPr>
  </w:style>
  <w:style w:type="character" w:customStyle="1" w:styleId="Char1">
    <w:name w:val="批注框文本 Char"/>
    <w:basedOn w:val="a0"/>
    <w:link w:val="a6"/>
    <w:uiPriority w:val="99"/>
    <w:semiHidden/>
    <w:rsid w:val="00754722"/>
    <w:rPr>
      <w:sz w:val="18"/>
      <w:szCs w:val="18"/>
    </w:rPr>
  </w:style>
  <w:style w:type="table" w:styleId="a7">
    <w:name w:val="Table Grid"/>
    <w:basedOn w:val="a1"/>
    <w:uiPriority w:val="59"/>
    <w:rsid w:val="00B5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basedOn w:val="a0"/>
    <w:rsid w:val="0051781D"/>
    <w:rPr>
      <w:rFonts w:ascii="仿宋" w:eastAsia="仿宋" w:hAnsi="仿宋" w:cs="仿宋" w:hint="eastAsia"/>
      <w:i w:val="0"/>
      <w:color w:val="000000"/>
      <w:sz w:val="20"/>
      <w:szCs w:val="20"/>
      <w:u w:val="none"/>
    </w:rPr>
  </w:style>
  <w:style w:type="character" w:customStyle="1" w:styleId="font31">
    <w:name w:val="font31"/>
    <w:rsid w:val="0051781D"/>
    <w:rPr>
      <w:rFonts w:ascii="宋体" w:eastAsia="宋体" w:hAnsi="宋体" w:cs="宋体" w:hint="eastAsia"/>
      <w:i w:val="0"/>
      <w:color w:val="000000"/>
      <w:sz w:val="20"/>
      <w:szCs w:val="20"/>
      <w:u w:val="none"/>
      <w:vertAlign w:val="superscript"/>
    </w:rPr>
  </w:style>
  <w:style w:type="character" w:customStyle="1" w:styleId="font11">
    <w:name w:val="font11"/>
    <w:rsid w:val="0051781D"/>
    <w:rPr>
      <w:rFonts w:ascii="宋体" w:eastAsia="宋体" w:hAnsi="宋体" w:cs="宋体" w:hint="eastAsia"/>
      <w:i w:val="0"/>
      <w:color w:val="FF0000"/>
      <w:sz w:val="22"/>
      <w:szCs w:val="22"/>
      <w:u w:val="none"/>
    </w:rPr>
  </w:style>
  <w:style w:type="character" w:customStyle="1" w:styleId="font61">
    <w:name w:val="font61"/>
    <w:rsid w:val="0051781D"/>
    <w:rPr>
      <w:rFonts w:ascii="宋体" w:eastAsia="宋体" w:hAnsi="宋体" w:cs="宋体" w:hint="eastAsia"/>
      <w:i w:val="0"/>
      <w:color w:val="000000"/>
      <w:sz w:val="22"/>
      <w:szCs w:val="22"/>
      <w:u w:val="none"/>
    </w:rPr>
  </w:style>
  <w:style w:type="character" w:customStyle="1" w:styleId="font71">
    <w:name w:val="font71"/>
    <w:rsid w:val="0051781D"/>
    <w:rPr>
      <w:rFonts w:ascii="宋体" w:eastAsia="宋体" w:hAnsi="宋体" w:cs="宋体" w:hint="eastAsia"/>
      <w:i w:val="0"/>
      <w:color w:val="000000"/>
      <w:sz w:val="20"/>
      <w:szCs w:val="20"/>
      <w:u w:val="none"/>
      <w:vertAlign w:val="superscript"/>
    </w:rPr>
  </w:style>
  <w:style w:type="character" w:customStyle="1" w:styleId="font41">
    <w:name w:val="font41"/>
    <w:rsid w:val="0051781D"/>
    <w:rPr>
      <w:rFonts w:ascii="宋体" w:eastAsia="宋体" w:hAnsi="宋体" w:cs="宋体" w:hint="eastAsia"/>
      <w:i w:val="0"/>
      <w:color w:val="000000"/>
      <w:sz w:val="20"/>
      <w:szCs w:val="20"/>
      <w:u w:val="none"/>
    </w:rPr>
  </w:style>
  <w:style w:type="character" w:customStyle="1" w:styleId="font01">
    <w:name w:val="font01"/>
    <w:rsid w:val="0051781D"/>
    <w:rPr>
      <w:rFonts w:ascii="宋体" w:eastAsia="宋体" w:hAnsi="宋体" w:cs="宋体" w:hint="eastAsia"/>
      <w:i w:val="0"/>
      <w:color w:val="000000"/>
      <w:sz w:val="22"/>
      <w:szCs w:val="22"/>
      <w:u w:val="none"/>
    </w:rPr>
  </w:style>
  <w:style w:type="character" w:customStyle="1" w:styleId="font51">
    <w:name w:val="font51"/>
    <w:basedOn w:val="a0"/>
    <w:rsid w:val="0051781D"/>
    <w:rPr>
      <w:rFonts w:ascii="宋体" w:eastAsia="宋体" w:hAnsi="宋体" w:cs="宋体" w:hint="eastAsia"/>
      <w:i w:val="0"/>
      <w:color w:val="000000"/>
      <w:sz w:val="24"/>
      <w:szCs w:val="24"/>
      <w:u w:val="none"/>
    </w:rPr>
  </w:style>
  <w:style w:type="character" w:customStyle="1" w:styleId="font12">
    <w:name w:val="font12"/>
    <w:basedOn w:val="a0"/>
    <w:rsid w:val="0051781D"/>
    <w:rPr>
      <w:rFonts w:ascii="Times New Roman" w:hAnsi="Times New Roman" w:cs="Times New Roman" w:hint="default"/>
      <w:i w:val="0"/>
      <w:color w:val="000000"/>
      <w:sz w:val="20"/>
      <w:szCs w:val="20"/>
      <w:u w:val="none"/>
      <w:vertAlign w:val="subscript"/>
    </w:rPr>
  </w:style>
  <w:style w:type="character" w:customStyle="1" w:styleId="font81">
    <w:name w:val="font81"/>
    <w:basedOn w:val="a0"/>
    <w:rsid w:val="0051781D"/>
    <w:rPr>
      <w:rFonts w:ascii="宋体" w:eastAsia="宋体" w:hAnsi="宋体" w:cs="宋体" w:hint="eastAsia"/>
      <w:i w:val="0"/>
      <w:color w:val="000000"/>
      <w:sz w:val="20"/>
      <w:szCs w:val="20"/>
      <w:u w:val="none"/>
      <w:vertAlign w:val="subscript"/>
    </w:rPr>
  </w:style>
  <w:style w:type="character" w:customStyle="1" w:styleId="font21">
    <w:name w:val="font21"/>
    <w:basedOn w:val="a0"/>
    <w:rsid w:val="0051781D"/>
    <w:rPr>
      <w:rFonts w:ascii="宋体" w:eastAsia="宋体" w:hAnsi="宋体" w:cs="宋体" w:hint="eastAsia"/>
      <w:i w:val="0"/>
      <w:color w:val="000000"/>
      <w:sz w:val="20"/>
      <w:szCs w:val="20"/>
      <w:u w:val="none"/>
    </w:rPr>
  </w:style>
  <w:style w:type="character" w:customStyle="1" w:styleId="Char2">
    <w:name w:val="日期 Char"/>
    <w:basedOn w:val="a0"/>
    <w:link w:val="a8"/>
    <w:uiPriority w:val="99"/>
    <w:rsid w:val="0051781D"/>
  </w:style>
  <w:style w:type="paragraph" w:styleId="a8">
    <w:name w:val="Date"/>
    <w:basedOn w:val="a"/>
    <w:next w:val="a"/>
    <w:link w:val="Char2"/>
    <w:uiPriority w:val="99"/>
    <w:unhideWhenUsed/>
    <w:rsid w:val="0051781D"/>
    <w:pPr>
      <w:ind w:leftChars="2500" w:left="100"/>
    </w:pPr>
    <w:rPr>
      <w:szCs w:val="22"/>
    </w:rPr>
  </w:style>
  <w:style w:type="character" w:customStyle="1" w:styleId="Char10">
    <w:name w:val="日期 Char1"/>
    <w:basedOn w:val="a0"/>
    <w:uiPriority w:val="99"/>
    <w:semiHidden/>
    <w:rsid w:val="0051781D"/>
    <w:rPr>
      <w:szCs w:val="24"/>
    </w:rPr>
  </w:style>
  <w:style w:type="paragraph" w:customStyle="1" w:styleId="Default">
    <w:name w:val="Default"/>
    <w:qFormat/>
    <w:rsid w:val="0051781D"/>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font101">
    <w:name w:val="font101"/>
    <w:basedOn w:val="a0"/>
    <w:rsid w:val="00F15B7A"/>
    <w:rPr>
      <w:rFonts w:ascii="仿宋_GB2312" w:eastAsia="仿宋_GB2312" w:cs="仿宋_GB2312" w:hint="default"/>
      <w:i w:val="0"/>
      <w:color w:val="000000"/>
      <w:sz w:val="18"/>
      <w:szCs w:val="18"/>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0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9yst.com/zhuanti/chay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6</cp:revision>
  <cp:lastPrinted>2020-05-14T03:25:00Z</cp:lastPrinted>
  <dcterms:created xsi:type="dcterms:W3CDTF">2021-05-18T01:30:00Z</dcterms:created>
  <dcterms:modified xsi:type="dcterms:W3CDTF">2021-11-24T07:34:00Z</dcterms:modified>
</cp:coreProperties>
</file>