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6"/>
          <w:szCs w:val="36"/>
          <w:highlight w:val="none"/>
          <w:lang w:eastAsia="zh-CN"/>
        </w:rPr>
      </w:pPr>
      <w:r>
        <w:rPr>
          <w:rFonts w:hint="eastAsia" w:ascii="黑体" w:hAnsi="黑体" w:eastAsia="黑体" w:cs="黑体"/>
          <w:sz w:val="36"/>
          <w:szCs w:val="36"/>
          <w:highlight w:val="none"/>
        </w:rPr>
        <w:t>附件</w:t>
      </w:r>
      <w:r>
        <w:rPr>
          <w:rFonts w:hint="eastAsia" w:ascii="黑体" w:hAnsi="黑体" w:eastAsia="黑体" w:cs="黑体"/>
          <w:sz w:val="36"/>
          <w:szCs w:val="36"/>
          <w:highlight w:val="none"/>
          <w:lang w:val="en-US" w:eastAsia="zh-CN"/>
        </w:rPr>
        <w:t>3</w:t>
      </w:r>
    </w:p>
    <w:p>
      <w:pPr>
        <w:adjustRightInd w:val="0"/>
        <w:snapToGrid w:val="0"/>
        <w:jc w:val="center"/>
        <w:rPr>
          <w:rFonts w:hint="default" w:ascii="Times New Roman" w:hAnsi="Times New Roman" w:eastAsia="方正小标宋简体" w:cs="Times New Roman"/>
          <w:kern w:val="0"/>
          <w:sz w:val="44"/>
          <w:szCs w:val="44"/>
          <w:highlight w:val="none"/>
          <w:lang w:eastAsia="zh-CN"/>
        </w:rPr>
      </w:pPr>
      <w:r>
        <w:rPr>
          <w:rFonts w:hint="default" w:ascii="Times New Roman" w:hAnsi="Times New Roman" w:eastAsia="方正小标宋简体" w:cs="Times New Roman"/>
          <w:spacing w:val="56"/>
          <w:kern w:val="0"/>
          <w:sz w:val="44"/>
          <w:szCs w:val="44"/>
          <w:highlight w:val="none"/>
        </w:rPr>
        <w:t>枣庄市有突出贡献的中青年专家基本情况一览</w:t>
      </w:r>
      <w:r>
        <w:rPr>
          <w:rFonts w:hint="default" w:ascii="Times New Roman" w:hAnsi="Times New Roman" w:eastAsia="方正小标宋简体" w:cs="Times New Roman"/>
          <w:spacing w:val="8"/>
          <w:kern w:val="0"/>
          <w:sz w:val="44"/>
          <w:szCs w:val="44"/>
          <w:highlight w:val="none"/>
        </w:rPr>
        <w:t>表</w:t>
      </w:r>
    </w:p>
    <w:p>
      <w:pPr>
        <w:spacing w:line="240" w:lineRule="exact"/>
        <w:jc w:val="center"/>
        <w:rPr>
          <w:rFonts w:hint="default" w:ascii="Times New Roman" w:hAnsi="Times New Roman" w:eastAsia="华文中宋" w:cs="Times New Roman"/>
          <w:sz w:val="44"/>
          <w:highlight w:val="none"/>
        </w:rPr>
      </w:pPr>
    </w:p>
    <w:p>
      <w:pPr>
        <w:rPr>
          <w:rFonts w:hint="default" w:ascii="Times New Roman" w:hAnsi="Times New Roman" w:cs="Times New Roman"/>
          <w:sz w:val="24"/>
          <w:highlight w:val="none"/>
        </w:rPr>
      </w:pPr>
      <w:r>
        <w:rPr>
          <w:rFonts w:hint="eastAsia" w:ascii="宋体" w:hAnsi="宋体" w:eastAsia="宋体" w:cs="宋体"/>
          <w:sz w:val="24"/>
          <w:highlight w:val="none"/>
          <w:lang w:eastAsia="zh-CN"/>
        </w:rPr>
        <w:t>工作单位</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 xml:space="preserve"> </w:t>
      </w:r>
      <w:r>
        <w:rPr>
          <w:rFonts w:hint="eastAsia"/>
          <w:color w:val="000000"/>
          <w:kern w:val="0"/>
          <w:sz w:val="22"/>
          <w:szCs w:val="22"/>
          <w:lang w:eastAsia="zh-CN"/>
        </w:rPr>
        <w:t>滕州市农业技术推广中心</w:t>
      </w:r>
      <w:r>
        <w:rPr>
          <w:rFonts w:hint="eastAsia" w:ascii="宋体" w:hAnsi="宋体" w:eastAsia="宋体" w:cs="宋体"/>
          <w:sz w:val="24"/>
          <w:highlight w:val="none"/>
          <w:lang w:val="en-US" w:eastAsia="zh-CN"/>
        </w:rPr>
        <w:t xml:space="preserve">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w:t>
      </w:r>
      <w:r>
        <w:rPr>
          <w:rFonts w:hint="default" w:ascii="Times New Roman" w:hAnsi="Times New Roman" w:cs="Times New Roman"/>
          <w:sz w:val="24"/>
          <w:highlight w:val="none"/>
        </w:rPr>
        <w:t xml:space="preserve">    </w:t>
      </w:r>
      <w:r>
        <w:rPr>
          <w:rFonts w:hint="default" w:ascii="Times New Roman" w:hAnsi="Times New Roman" w:cs="Times New Roman"/>
          <w:sz w:val="24"/>
          <w:highlight w:val="none"/>
          <w:lang w:val="en-US" w:eastAsia="zh-CN"/>
        </w:rPr>
        <w:t xml:space="preserve">                                </w:t>
      </w:r>
      <w:r>
        <w:rPr>
          <w:rFonts w:hint="default" w:ascii="Times New Roman" w:hAnsi="Times New Roman" w:cs="Times New Roman"/>
          <w:sz w:val="24"/>
          <w:highlight w:val="none"/>
        </w:rPr>
        <w:t xml:space="preserve">              </w:t>
      </w:r>
      <w:r>
        <w:rPr>
          <w:rFonts w:hint="eastAsia" w:cs="Times New Roman"/>
          <w:sz w:val="24"/>
          <w:highlight w:val="none"/>
          <w:lang w:val="en-US" w:eastAsia="zh-CN"/>
        </w:rPr>
        <w:t xml:space="preserve">                                     </w:t>
      </w:r>
      <w:bookmarkStart w:id="0" w:name="_GoBack"/>
      <w:bookmarkEnd w:id="0"/>
      <w:r>
        <w:rPr>
          <w:rFonts w:hint="default" w:ascii="Times New Roman" w:hAnsi="Times New Roman" w:cs="Times New Roman"/>
          <w:sz w:val="24"/>
          <w:highlight w:val="none"/>
        </w:rPr>
        <w:t>20</w:t>
      </w:r>
      <w:r>
        <w:rPr>
          <w:rFonts w:hint="default" w:ascii="Times New Roman" w:hAnsi="Times New Roman" w:cs="Times New Roman"/>
          <w:sz w:val="24"/>
          <w:highlight w:val="none"/>
          <w:lang w:val="en-US" w:eastAsia="zh-CN"/>
        </w:rPr>
        <w:t>2</w:t>
      </w:r>
      <w:r>
        <w:rPr>
          <w:rFonts w:hint="eastAsia" w:ascii="Times New Roman" w:hAnsi="Times New Roman" w:cs="Times New Roman"/>
          <w:sz w:val="24"/>
          <w:highlight w:val="none"/>
          <w:lang w:val="en-US" w:eastAsia="zh-CN"/>
        </w:rPr>
        <w:t>5</w:t>
      </w:r>
      <w:r>
        <w:rPr>
          <w:rFonts w:hint="default" w:ascii="Times New Roman" w:hAnsi="Times New Roman" w:cs="Times New Roman"/>
          <w:sz w:val="24"/>
          <w:highlight w:val="none"/>
        </w:rPr>
        <w:t xml:space="preserve">年 </w:t>
      </w:r>
      <w:r>
        <w:rPr>
          <w:rFonts w:hint="eastAsia" w:cs="Times New Roman"/>
          <w:sz w:val="24"/>
          <w:highlight w:val="none"/>
          <w:lang w:val="en-US" w:eastAsia="zh-CN"/>
        </w:rPr>
        <w:t>6</w:t>
      </w:r>
      <w:r>
        <w:rPr>
          <w:rFonts w:hint="default" w:ascii="Times New Roman" w:hAnsi="Times New Roman" w:cs="Times New Roman"/>
          <w:sz w:val="24"/>
          <w:highlight w:val="none"/>
        </w:rPr>
        <w:t>月</w:t>
      </w:r>
      <w:r>
        <w:rPr>
          <w:rFonts w:hint="eastAsia" w:cs="Times New Roman"/>
          <w:sz w:val="24"/>
          <w:highlight w:val="none"/>
          <w:lang w:val="en-US" w:eastAsia="zh-CN"/>
        </w:rPr>
        <w:t>6</w:t>
      </w:r>
      <w:r>
        <w:rPr>
          <w:rFonts w:hint="default" w:ascii="Times New Roman" w:hAnsi="Times New Roman" w:cs="Times New Roman"/>
          <w:sz w:val="24"/>
          <w:highlight w:val="none"/>
        </w:rPr>
        <w:t>日</w:t>
      </w:r>
    </w:p>
    <w:tbl>
      <w:tblPr>
        <w:tblStyle w:val="5"/>
        <w:tblW w:w="21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790"/>
        <w:gridCol w:w="676"/>
        <w:gridCol w:w="720"/>
        <w:gridCol w:w="760"/>
        <w:gridCol w:w="787"/>
        <w:gridCol w:w="1053"/>
        <w:gridCol w:w="1134"/>
        <w:gridCol w:w="906"/>
        <w:gridCol w:w="974"/>
        <w:gridCol w:w="1013"/>
        <w:gridCol w:w="1694"/>
        <w:gridCol w:w="734"/>
        <w:gridCol w:w="679"/>
        <w:gridCol w:w="2440"/>
        <w:gridCol w:w="1320"/>
        <w:gridCol w:w="2066"/>
        <w:gridCol w:w="1247"/>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659" w:type="dxa"/>
            <w:shd w:val="clear" w:color="auto" w:fill="auto"/>
            <w:noWrap w:val="0"/>
            <w:vAlign w:val="center"/>
          </w:tcPr>
          <w:p>
            <w:pPr>
              <w:jc w:val="center"/>
              <w:rPr>
                <w:rFonts w:hint="default" w:ascii="黑体" w:hAnsi="黑体" w:eastAsia="黑体" w:cs="黑体"/>
                <w:color w:val="auto"/>
                <w:kern w:val="2"/>
                <w:sz w:val="21"/>
                <w:szCs w:val="24"/>
                <w:vertAlign w:val="baseline"/>
                <w:lang w:val="en-US" w:eastAsia="zh-CN" w:bidi="ar-SA"/>
              </w:rPr>
            </w:pPr>
            <w:r>
              <w:rPr>
                <w:rFonts w:hint="eastAsia" w:ascii="黑体" w:hAnsi="黑体" w:eastAsia="黑体" w:cs="黑体"/>
                <w:color w:val="auto"/>
                <w:vertAlign w:val="baseline"/>
                <w:lang w:val="en-US" w:eastAsia="zh-CN"/>
              </w:rPr>
              <w:t>姓名</w:t>
            </w:r>
          </w:p>
        </w:tc>
        <w:tc>
          <w:tcPr>
            <w:tcW w:w="790" w:type="dxa"/>
            <w:shd w:val="clear" w:color="auto" w:fill="auto"/>
            <w:noWrap w:val="0"/>
            <w:vAlign w:val="center"/>
          </w:tcPr>
          <w:p>
            <w:pPr>
              <w:jc w:val="center"/>
              <w:rPr>
                <w:rFonts w:hint="default" w:ascii="黑体" w:hAnsi="黑体" w:eastAsia="黑体" w:cs="黑体"/>
                <w:color w:val="auto"/>
                <w:kern w:val="2"/>
                <w:sz w:val="21"/>
                <w:szCs w:val="24"/>
                <w:vertAlign w:val="baseline"/>
                <w:lang w:val="en-US" w:eastAsia="zh-CN" w:bidi="ar-SA"/>
              </w:rPr>
            </w:pPr>
            <w:r>
              <w:rPr>
                <w:rFonts w:hint="eastAsia" w:ascii="黑体" w:hAnsi="黑体" w:eastAsia="黑体" w:cs="黑体"/>
                <w:color w:val="auto"/>
                <w:vertAlign w:val="baseline"/>
                <w:lang w:eastAsia="zh-CN"/>
              </w:rPr>
              <w:t>马海艳</w:t>
            </w:r>
          </w:p>
        </w:tc>
        <w:tc>
          <w:tcPr>
            <w:tcW w:w="676" w:type="dxa"/>
            <w:shd w:val="clear" w:color="auto" w:fill="auto"/>
            <w:noWrap w:val="0"/>
            <w:vAlign w:val="center"/>
          </w:tcPr>
          <w:p>
            <w:pPr>
              <w:jc w:val="center"/>
              <w:rPr>
                <w:rFonts w:hint="default" w:ascii="黑体" w:hAnsi="黑体" w:eastAsia="黑体" w:cs="黑体"/>
                <w:color w:val="auto"/>
                <w:kern w:val="2"/>
                <w:sz w:val="21"/>
                <w:szCs w:val="24"/>
                <w:vertAlign w:val="baseline"/>
                <w:lang w:val="en-US" w:eastAsia="zh-CN" w:bidi="ar-SA"/>
              </w:rPr>
            </w:pPr>
            <w:r>
              <w:rPr>
                <w:rFonts w:hint="eastAsia" w:ascii="黑体" w:hAnsi="黑体" w:eastAsia="黑体" w:cs="黑体"/>
                <w:color w:val="auto"/>
                <w:vertAlign w:val="baseline"/>
                <w:lang w:eastAsia="zh-CN"/>
              </w:rPr>
              <w:t>性别</w:t>
            </w:r>
          </w:p>
        </w:tc>
        <w:tc>
          <w:tcPr>
            <w:tcW w:w="720" w:type="dxa"/>
            <w:shd w:val="clear" w:color="auto" w:fill="auto"/>
            <w:noWrap w:val="0"/>
            <w:vAlign w:val="center"/>
          </w:tcPr>
          <w:p>
            <w:pPr>
              <w:jc w:val="center"/>
              <w:rPr>
                <w:rFonts w:hint="default" w:ascii="黑体" w:hAnsi="黑体" w:eastAsia="黑体" w:cs="黑体"/>
                <w:color w:val="auto"/>
                <w:kern w:val="2"/>
                <w:sz w:val="21"/>
                <w:szCs w:val="24"/>
                <w:vertAlign w:val="baseline"/>
                <w:lang w:val="en-US" w:eastAsia="zh-CN" w:bidi="ar-SA"/>
              </w:rPr>
            </w:pPr>
            <w:r>
              <w:rPr>
                <w:rFonts w:hint="eastAsia" w:ascii="黑体" w:hAnsi="黑体" w:eastAsia="黑体" w:cs="黑体"/>
                <w:color w:val="auto"/>
                <w:vertAlign w:val="baseline"/>
                <w:lang w:eastAsia="zh-CN"/>
              </w:rPr>
              <w:t>女</w:t>
            </w:r>
          </w:p>
        </w:tc>
        <w:tc>
          <w:tcPr>
            <w:tcW w:w="760" w:type="dxa"/>
            <w:shd w:val="clear" w:color="auto" w:fill="auto"/>
            <w:noWrap w:val="0"/>
            <w:vAlign w:val="center"/>
          </w:tcPr>
          <w:p>
            <w:pPr>
              <w:jc w:val="center"/>
              <w:rPr>
                <w:rFonts w:hint="default" w:ascii="黑体" w:hAnsi="黑体" w:eastAsia="黑体" w:cs="黑体"/>
                <w:color w:val="auto"/>
                <w:kern w:val="2"/>
                <w:sz w:val="21"/>
                <w:szCs w:val="24"/>
                <w:vertAlign w:val="baseline"/>
                <w:lang w:val="en-US" w:eastAsia="zh-CN" w:bidi="ar-SA"/>
              </w:rPr>
            </w:pPr>
            <w:r>
              <w:rPr>
                <w:rFonts w:hint="eastAsia" w:ascii="黑体" w:hAnsi="黑体" w:eastAsia="黑体" w:cs="黑体"/>
                <w:color w:val="auto"/>
                <w:vertAlign w:val="baseline"/>
                <w:lang w:eastAsia="zh-CN"/>
              </w:rPr>
              <w:t>出生年月</w:t>
            </w:r>
          </w:p>
        </w:tc>
        <w:tc>
          <w:tcPr>
            <w:tcW w:w="787" w:type="dxa"/>
            <w:shd w:val="clear" w:color="auto" w:fill="auto"/>
            <w:noWrap w:val="0"/>
            <w:vAlign w:val="center"/>
          </w:tcPr>
          <w:p>
            <w:pPr>
              <w:jc w:val="center"/>
              <w:rPr>
                <w:rFonts w:hint="default" w:ascii="黑体" w:hAnsi="黑体" w:eastAsia="黑体" w:cs="黑体"/>
                <w:color w:val="auto"/>
                <w:kern w:val="2"/>
                <w:sz w:val="21"/>
                <w:szCs w:val="24"/>
                <w:vertAlign w:val="baseline"/>
                <w:lang w:val="en-US" w:eastAsia="zh-CN" w:bidi="ar-SA"/>
              </w:rPr>
            </w:pPr>
            <w:r>
              <w:rPr>
                <w:rFonts w:hint="eastAsia" w:ascii="黑体" w:hAnsi="黑体" w:eastAsia="黑体" w:cs="黑体"/>
                <w:color w:val="auto"/>
                <w:vertAlign w:val="baseline"/>
                <w:lang w:val="en-US" w:eastAsia="zh-CN"/>
              </w:rPr>
              <w:t>1976年10月</w:t>
            </w:r>
          </w:p>
        </w:tc>
        <w:tc>
          <w:tcPr>
            <w:tcW w:w="1053" w:type="dxa"/>
            <w:shd w:val="clear" w:color="auto" w:fill="auto"/>
            <w:noWrap w:val="0"/>
            <w:vAlign w:val="center"/>
          </w:tcPr>
          <w:p>
            <w:pPr>
              <w:jc w:val="center"/>
              <w:rPr>
                <w:rFonts w:hint="eastAsia" w:ascii="黑体" w:hAnsi="黑体" w:eastAsia="黑体" w:cs="黑体"/>
                <w:color w:val="auto"/>
                <w:vertAlign w:val="baseline"/>
                <w:lang w:eastAsia="zh-CN"/>
              </w:rPr>
            </w:pPr>
            <w:r>
              <w:rPr>
                <w:rFonts w:hint="eastAsia" w:ascii="黑体" w:hAnsi="黑体" w:eastAsia="黑体" w:cs="黑体"/>
                <w:color w:val="auto"/>
                <w:vertAlign w:val="baseline"/>
                <w:lang w:eastAsia="zh-CN"/>
              </w:rPr>
              <w:t>排序</w:t>
            </w:r>
          </w:p>
          <w:p>
            <w:pPr>
              <w:jc w:val="center"/>
              <w:rPr>
                <w:rFonts w:hint="default" w:ascii="黑体" w:hAnsi="黑体" w:eastAsia="黑体" w:cs="黑体"/>
                <w:color w:val="auto"/>
                <w:kern w:val="2"/>
                <w:sz w:val="21"/>
                <w:szCs w:val="24"/>
                <w:vertAlign w:val="baseline"/>
                <w:lang w:val="en-US" w:eastAsia="zh-CN" w:bidi="ar-SA"/>
              </w:rPr>
            </w:pPr>
            <w:r>
              <w:rPr>
                <w:rFonts w:hint="eastAsia" w:ascii="黑体" w:hAnsi="黑体" w:eastAsia="黑体" w:cs="黑体"/>
                <w:color w:val="auto"/>
                <w:vertAlign w:val="baseline"/>
                <w:lang w:eastAsia="zh-CN"/>
              </w:rPr>
              <w:t>（位次/人数）</w:t>
            </w:r>
          </w:p>
        </w:tc>
        <w:tc>
          <w:tcPr>
            <w:tcW w:w="1134" w:type="dxa"/>
            <w:shd w:val="clear" w:color="auto" w:fill="auto"/>
            <w:noWrap w:val="0"/>
            <w:vAlign w:val="center"/>
          </w:tcPr>
          <w:p>
            <w:pPr>
              <w:jc w:val="center"/>
              <w:rPr>
                <w:rFonts w:hint="default" w:ascii="黑体" w:hAnsi="黑体" w:eastAsia="黑体" w:cs="黑体"/>
                <w:color w:val="auto"/>
                <w:kern w:val="2"/>
                <w:sz w:val="21"/>
                <w:szCs w:val="24"/>
                <w:vertAlign w:val="baseline"/>
                <w:lang w:val="en-US" w:eastAsia="zh-CN" w:bidi="ar-SA"/>
              </w:rPr>
            </w:pPr>
          </w:p>
        </w:tc>
        <w:tc>
          <w:tcPr>
            <w:tcW w:w="906" w:type="dxa"/>
            <w:shd w:val="clear" w:color="auto" w:fill="auto"/>
            <w:noWrap w:val="0"/>
            <w:vAlign w:val="center"/>
          </w:tcPr>
          <w:p>
            <w:pPr>
              <w:jc w:val="center"/>
              <w:rPr>
                <w:rFonts w:hint="default" w:ascii="黑体" w:hAnsi="黑体" w:eastAsia="黑体" w:cs="黑体"/>
                <w:color w:val="auto"/>
                <w:kern w:val="2"/>
                <w:sz w:val="21"/>
                <w:szCs w:val="24"/>
                <w:vertAlign w:val="baseline"/>
                <w:lang w:val="en-US" w:eastAsia="zh-CN" w:bidi="ar-SA"/>
              </w:rPr>
            </w:pPr>
            <w:r>
              <w:rPr>
                <w:rFonts w:hint="eastAsia" w:ascii="黑体" w:hAnsi="黑体" w:eastAsia="黑体" w:cs="黑体"/>
                <w:color w:val="auto"/>
                <w:vertAlign w:val="baseline"/>
                <w:lang w:eastAsia="zh-CN"/>
              </w:rPr>
              <w:t>学历</w:t>
            </w:r>
          </w:p>
        </w:tc>
        <w:tc>
          <w:tcPr>
            <w:tcW w:w="974" w:type="dxa"/>
            <w:shd w:val="clear" w:color="auto" w:fill="auto"/>
            <w:noWrap w:val="0"/>
            <w:vAlign w:val="center"/>
          </w:tcPr>
          <w:p>
            <w:pPr>
              <w:jc w:val="center"/>
              <w:rPr>
                <w:rFonts w:hint="default" w:ascii="黑体" w:hAnsi="黑体" w:eastAsia="黑体" w:cs="黑体"/>
                <w:color w:val="auto"/>
                <w:kern w:val="2"/>
                <w:sz w:val="21"/>
                <w:szCs w:val="24"/>
                <w:vertAlign w:val="baseline"/>
                <w:lang w:val="en-US" w:eastAsia="zh-CN" w:bidi="ar-SA"/>
              </w:rPr>
            </w:pPr>
            <w:r>
              <w:rPr>
                <w:rFonts w:hint="eastAsia" w:ascii="黑体" w:hAnsi="黑体" w:eastAsia="黑体" w:cs="黑体"/>
                <w:color w:val="auto"/>
                <w:vertAlign w:val="baseline"/>
                <w:lang w:eastAsia="zh-CN"/>
              </w:rPr>
              <w:t>本科</w:t>
            </w:r>
          </w:p>
        </w:tc>
        <w:tc>
          <w:tcPr>
            <w:tcW w:w="1013" w:type="dxa"/>
            <w:shd w:val="clear" w:color="auto" w:fill="auto"/>
            <w:noWrap w:val="0"/>
            <w:vAlign w:val="center"/>
          </w:tcPr>
          <w:p>
            <w:pPr>
              <w:jc w:val="center"/>
              <w:rPr>
                <w:rFonts w:hint="default" w:ascii="黑体" w:hAnsi="黑体" w:eastAsia="黑体" w:cs="黑体"/>
                <w:color w:val="auto"/>
                <w:kern w:val="2"/>
                <w:sz w:val="21"/>
                <w:szCs w:val="24"/>
                <w:vertAlign w:val="baseline"/>
                <w:lang w:val="en-US" w:eastAsia="zh-CN" w:bidi="ar-SA"/>
              </w:rPr>
            </w:pPr>
            <w:r>
              <w:rPr>
                <w:rFonts w:hint="eastAsia" w:ascii="黑体" w:hAnsi="黑体" w:eastAsia="黑体" w:cs="黑体"/>
                <w:color w:val="auto"/>
                <w:vertAlign w:val="baseline"/>
                <w:lang w:eastAsia="zh-CN"/>
              </w:rPr>
              <w:t>学位</w:t>
            </w:r>
          </w:p>
        </w:tc>
        <w:tc>
          <w:tcPr>
            <w:tcW w:w="1694" w:type="dxa"/>
            <w:shd w:val="clear" w:color="auto" w:fill="auto"/>
            <w:noWrap w:val="0"/>
            <w:vAlign w:val="center"/>
          </w:tcPr>
          <w:p>
            <w:pPr>
              <w:jc w:val="center"/>
              <w:rPr>
                <w:rFonts w:hint="default" w:ascii="黑体" w:hAnsi="黑体" w:eastAsia="黑体" w:cs="黑体"/>
                <w:color w:val="auto"/>
                <w:kern w:val="2"/>
                <w:sz w:val="21"/>
                <w:szCs w:val="24"/>
                <w:vertAlign w:val="baseline"/>
                <w:lang w:val="en-US" w:eastAsia="zh-CN" w:bidi="ar-SA"/>
              </w:rPr>
            </w:pPr>
            <w:r>
              <w:rPr>
                <w:rFonts w:hint="eastAsia" w:ascii="黑体" w:hAnsi="黑体" w:eastAsia="黑体" w:cs="黑体"/>
                <w:color w:val="auto"/>
                <w:vertAlign w:val="baseline"/>
                <w:lang w:eastAsia="zh-CN"/>
              </w:rPr>
              <w:t>学士</w:t>
            </w:r>
          </w:p>
        </w:tc>
        <w:tc>
          <w:tcPr>
            <w:tcW w:w="1413" w:type="dxa"/>
            <w:gridSpan w:val="2"/>
            <w:shd w:val="clear" w:color="auto" w:fill="auto"/>
            <w:noWrap w:val="0"/>
            <w:vAlign w:val="center"/>
          </w:tcPr>
          <w:p>
            <w:pPr>
              <w:jc w:val="center"/>
              <w:rPr>
                <w:rFonts w:hint="default" w:ascii="黑体" w:hAnsi="黑体" w:eastAsia="黑体" w:cs="黑体"/>
                <w:color w:val="auto"/>
                <w:kern w:val="2"/>
                <w:sz w:val="21"/>
                <w:szCs w:val="24"/>
                <w:vertAlign w:val="baseline"/>
                <w:lang w:val="en-US" w:eastAsia="zh-CN" w:bidi="ar-SA"/>
              </w:rPr>
            </w:pPr>
            <w:r>
              <w:rPr>
                <w:rFonts w:hint="eastAsia" w:ascii="黑体" w:hAnsi="黑体" w:eastAsia="黑体" w:cs="黑体"/>
                <w:color w:val="auto"/>
                <w:vertAlign w:val="baseline"/>
                <w:lang w:eastAsia="zh-CN"/>
              </w:rPr>
              <w:t>专业技术职务及获得资格时间</w:t>
            </w:r>
          </w:p>
        </w:tc>
        <w:tc>
          <w:tcPr>
            <w:tcW w:w="2440" w:type="dxa"/>
            <w:shd w:val="clear" w:color="auto" w:fill="auto"/>
            <w:noWrap w:val="0"/>
            <w:vAlign w:val="center"/>
          </w:tcPr>
          <w:p>
            <w:pPr>
              <w:jc w:val="center"/>
              <w:rPr>
                <w:rFonts w:hint="default" w:ascii="黑体" w:hAnsi="黑体" w:eastAsia="黑体" w:cs="黑体"/>
                <w:color w:val="auto"/>
                <w:kern w:val="2"/>
                <w:sz w:val="21"/>
                <w:szCs w:val="24"/>
                <w:vertAlign w:val="baseline"/>
                <w:lang w:val="en-US" w:eastAsia="zh-CN" w:bidi="ar-SA"/>
              </w:rPr>
            </w:pPr>
            <w:r>
              <w:rPr>
                <w:rFonts w:hint="eastAsia" w:ascii="黑体" w:hAnsi="黑体" w:eastAsia="黑体" w:cs="黑体"/>
                <w:color w:val="auto"/>
                <w:vertAlign w:val="baseline"/>
                <w:lang w:eastAsia="zh-CN"/>
              </w:rPr>
              <w:t>高级农艺师</w:t>
            </w:r>
            <w:r>
              <w:rPr>
                <w:rFonts w:hint="eastAsia" w:ascii="黑体" w:hAnsi="黑体" w:eastAsia="黑体" w:cs="黑体"/>
                <w:color w:val="auto"/>
                <w:vertAlign w:val="baseline"/>
                <w:lang w:val="en-US" w:eastAsia="zh-CN"/>
              </w:rPr>
              <w:t>/2019年12月</w:t>
            </w:r>
          </w:p>
        </w:tc>
        <w:tc>
          <w:tcPr>
            <w:tcW w:w="1320" w:type="dxa"/>
            <w:shd w:val="clear" w:color="auto" w:fill="auto"/>
            <w:noWrap w:val="0"/>
            <w:vAlign w:val="center"/>
          </w:tcPr>
          <w:p>
            <w:pPr>
              <w:jc w:val="center"/>
              <w:rPr>
                <w:rFonts w:hint="default" w:ascii="黑体" w:hAnsi="黑体" w:eastAsia="黑体" w:cs="黑体"/>
                <w:color w:val="auto"/>
                <w:kern w:val="2"/>
                <w:sz w:val="21"/>
                <w:szCs w:val="24"/>
                <w:vertAlign w:val="baseline"/>
                <w:lang w:val="en-US" w:eastAsia="zh-CN" w:bidi="ar-SA"/>
              </w:rPr>
            </w:pPr>
            <w:r>
              <w:rPr>
                <w:rFonts w:hint="eastAsia" w:ascii="黑体" w:hAnsi="黑体" w:eastAsia="黑体" w:cs="黑体"/>
                <w:color w:val="auto"/>
                <w:vertAlign w:val="baseline"/>
                <w:lang w:eastAsia="zh-CN"/>
              </w:rPr>
              <w:t>现聘专业技术职务及首聘时间</w:t>
            </w:r>
          </w:p>
        </w:tc>
        <w:tc>
          <w:tcPr>
            <w:tcW w:w="2066" w:type="dxa"/>
            <w:shd w:val="clear" w:color="auto" w:fill="auto"/>
            <w:noWrap w:val="0"/>
            <w:vAlign w:val="center"/>
          </w:tcPr>
          <w:p>
            <w:pPr>
              <w:jc w:val="center"/>
              <w:rPr>
                <w:rFonts w:hint="default" w:ascii="黑体" w:hAnsi="黑体" w:eastAsia="黑体" w:cs="黑体"/>
                <w:color w:val="auto"/>
                <w:kern w:val="2"/>
                <w:sz w:val="21"/>
                <w:szCs w:val="24"/>
                <w:vertAlign w:val="baseline"/>
                <w:lang w:val="en-US" w:eastAsia="zh-CN" w:bidi="ar-SA"/>
              </w:rPr>
            </w:pPr>
            <w:r>
              <w:rPr>
                <w:rFonts w:hint="eastAsia" w:ascii="黑体" w:hAnsi="黑体" w:eastAsia="黑体" w:cs="黑体"/>
                <w:color w:val="auto"/>
                <w:vertAlign w:val="baseline"/>
                <w:lang w:eastAsia="zh-CN"/>
              </w:rPr>
              <w:t>农艺师</w:t>
            </w:r>
            <w:r>
              <w:rPr>
                <w:rFonts w:hint="eastAsia" w:ascii="黑体" w:hAnsi="黑体" w:eastAsia="黑体" w:cs="黑体"/>
                <w:color w:val="auto"/>
                <w:vertAlign w:val="baseline"/>
                <w:lang w:val="en-US" w:eastAsia="zh-CN"/>
              </w:rPr>
              <w:t>/2011年11月</w:t>
            </w:r>
          </w:p>
        </w:tc>
        <w:tc>
          <w:tcPr>
            <w:tcW w:w="1247" w:type="dxa"/>
            <w:noWrap w:val="0"/>
            <w:vAlign w:val="center"/>
          </w:tcPr>
          <w:p>
            <w:pPr>
              <w:jc w:val="center"/>
              <w:rPr>
                <w:rFonts w:hint="default" w:ascii="Times New Roman" w:hAnsi="Times New Roman" w:eastAsia="黑体" w:cs="Times New Roman"/>
                <w:color w:val="auto"/>
                <w:highlight w:val="none"/>
                <w:vertAlign w:val="baseline"/>
                <w:lang w:eastAsia="zh-CN"/>
              </w:rPr>
            </w:pPr>
            <w:r>
              <w:rPr>
                <w:rFonts w:hint="eastAsia" w:ascii="Times New Roman" w:hAnsi="Times New Roman" w:eastAsia="黑体" w:cs="Times New Roman"/>
                <w:color w:val="auto"/>
                <w:highlight w:val="none"/>
                <w:vertAlign w:val="baseline"/>
                <w:lang w:eastAsia="zh-CN"/>
              </w:rPr>
              <w:t>科技型企业类型</w:t>
            </w:r>
          </w:p>
        </w:tc>
        <w:tc>
          <w:tcPr>
            <w:tcW w:w="1891" w:type="dxa"/>
            <w:noWrap w:val="0"/>
            <w:vAlign w:val="center"/>
          </w:tcPr>
          <w:p>
            <w:pPr>
              <w:jc w:val="center"/>
              <w:rPr>
                <w:rFonts w:hint="default" w:ascii="Times New Roman" w:hAnsi="Times New Roman" w:eastAsia="黑体" w:cs="Times New Roman"/>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9" w:hRule="atLeast"/>
          <w:jc w:val="center"/>
        </w:trPr>
        <w:tc>
          <w:tcPr>
            <w:tcW w:w="659" w:type="dxa"/>
            <w:vMerge w:val="restart"/>
            <w:noWrap w:val="0"/>
            <w:vAlign w:val="center"/>
          </w:tcPr>
          <w:p>
            <w:pPr>
              <w:jc w:val="center"/>
              <w:rPr>
                <w:rFonts w:hint="default" w:ascii="Times New Roman" w:hAnsi="Times New Roman" w:eastAsia="黑体" w:cs="Times New Roman"/>
                <w:color w:val="auto"/>
                <w:highlight w:val="none"/>
                <w:vertAlign w:val="baseline"/>
                <w:lang w:eastAsia="zh-CN"/>
              </w:rPr>
            </w:pPr>
            <w:r>
              <w:rPr>
                <w:rFonts w:hint="default" w:ascii="Times New Roman" w:hAnsi="Times New Roman" w:eastAsia="黑体" w:cs="Times New Roman"/>
                <w:color w:val="auto"/>
                <w:highlight w:val="none"/>
                <w:vertAlign w:val="baseline"/>
                <w:lang w:eastAsia="zh-CN"/>
              </w:rPr>
              <w:t>主要业绩（以近</w:t>
            </w:r>
            <w:r>
              <w:rPr>
                <w:rFonts w:hint="default" w:ascii="Times New Roman" w:hAnsi="Times New Roman" w:eastAsia="黑体" w:cs="Times New Roman"/>
                <w:color w:val="auto"/>
                <w:highlight w:val="none"/>
                <w:vertAlign w:val="baseline"/>
                <w:lang w:val="en-US" w:eastAsia="zh-CN"/>
              </w:rPr>
              <w:t>5年为主</w:t>
            </w:r>
            <w:r>
              <w:rPr>
                <w:rFonts w:hint="default" w:ascii="Times New Roman" w:hAnsi="Times New Roman" w:eastAsia="黑体" w:cs="Times New Roman"/>
                <w:color w:val="auto"/>
                <w:highlight w:val="none"/>
                <w:vertAlign w:val="baseline"/>
                <w:lang w:eastAsia="zh-CN"/>
              </w:rPr>
              <w:t>）</w:t>
            </w:r>
          </w:p>
        </w:tc>
        <w:tc>
          <w:tcPr>
            <w:tcW w:w="790" w:type="dxa"/>
            <w:noWrap w:val="0"/>
            <w:vAlign w:val="center"/>
          </w:tcPr>
          <w:p>
            <w:pPr>
              <w:jc w:val="center"/>
              <w:rPr>
                <w:rFonts w:hint="default" w:ascii="Times New Roman" w:hAnsi="Times New Roman" w:eastAsia="黑体" w:cs="Times New Roman"/>
                <w:color w:val="auto"/>
                <w:highlight w:val="none"/>
                <w:vertAlign w:val="baseline"/>
                <w:lang w:eastAsia="zh-CN"/>
              </w:rPr>
            </w:pPr>
            <w:r>
              <w:rPr>
                <w:rFonts w:hint="default" w:ascii="Times New Roman" w:hAnsi="Times New Roman" w:eastAsia="黑体" w:cs="Times New Roman"/>
                <w:color w:val="auto"/>
                <w:highlight w:val="none"/>
                <w:vertAlign w:val="baseline"/>
                <w:lang w:eastAsia="zh-CN"/>
              </w:rPr>
              <w:t>人才工程</w:t>
            </w:r>
          </w:p>
        </w:tc>
        <w:tc>
          <w:tcPr>
            <w:tcW w:w="9717" w:type="dxa"/>
            <w:gridSpan w:val="10"/>
            <w:noWrap w:val="0"/>
            <w:vAlign w:val="center"/>
          </w:tcPr>
          <w:p>
            <w:pPr>
              <w:jc w:val="left"/>
              <w:rPr>
                <w:rFonts w:hint="eastAsia" w:ascii="黑体" w:hAnsi="黑体" w:eastAsia="黑体" w:cs="黑体"/>
                <w:color w:val="auto"/>
                <w:sz w:val="18"/>
                <w:szCs w:val="18"/>
                <w:highlight w:val="none"/>
                <w:vertAlign w:val="baseline"/>
                <w:lang w:val="en-US" w:eastAsia="zh-CN"/>
              </w:rPr>
            </w:pPr>
            <w:r>
              <w:rPr>
                <w:rFonts w:hint="eastAsia" w:ascii="黑体" w:hAnsi="黑体" w:eastAsia="黑体" w:cs="黑体"/>
                <w:color w:val="auto"/>
                <w:sz w:val="18"/>
                <w:szCs w:val="18"/>
                <w:highlight w:val="none"/>
                <w:vertAlign w:val="baseline"/>
                <w:lang w:val="en-US" w:eastAsia="zh-CN"/>
              </w:rPr>
              <w:t xml:space="preserve">1.2021年04月  获得县级滕州工匠     </w:t>
            </w:r>
          </w:p>
          <w:p>
            <w:pPr>
              <w:pStyle w:val="2"/>
              <w:rPr>
                <w:rFonts w:hint="default" w:ascii="黑体" w:hAnsi="黑体" w:eastAsia="黑体" w:cs="黑体"/>
                <w:color w:val="auto"/>
                <w:sz w:val="18"/>
                <w:szCs w:val="18"/>
                <w:highlight w:val="none"/>
                <w:vertAlign w:val="baseline"/>
                <w:lang w:val="en-US" w:eastAsia="zh-CN"/>
              </w:rPr>
            </w:pPr>
          </w:p>
        </w:tc>
        <w:tc>
          <w:tcPr>
            <w:tcW w:w="734" w:type="dxa"/>
            <w:noWrap w:val="0"/>
            <w:vAlign w:val="center"/>
          </w:tcPr>
          <w:p>
            <w:pPr>
              <w:jc w:val="center"/>
              <w:rPr>
                <w:rFonts w:hint="default" w:ascii="Times New Roman" w:hAnsi="Times New Roman" w:eastAsia="黑体" w:cs="Times New Roman"/>
                <w:color w:val="auto"/>
                <w:highlight w:val="none"/>
                <w:vertAlign w:val="baseline"/>
                <w:lang w:eastAsia="zh-CN"/>
              </w:rPr>
            </w:pPr>
            <w:r>
              <w:rPr>
                <w:rFonts w:hint="default" w:ascii="Times New Roman" w:hAnsi="Times New Roman" w:eastAsia="黑体" w:cs="Times New Roman"/>
                <w:color w:val="auto"/>
                <w:highlight w:val="none"/>
                <w:vertAlign w:val="baseline"/>
                <w:lang w:eastAsia="zh-CN"/>
              </w:rPr>
              <w:t>成果获奖情况</w:t>
            </w:r>
          </w:p>
          <w:p>
            <w:pPr>
              <w:jc w:val="center"/>
              <w:rPr>
                <w:rFonts w:hint="default" w:ascii="Times New Roman" w:hAnsi="Times New Roman" w:eastAsia="黑体" w:cs="Times New Roman"/>
                <w:color w:val="auto"/>
                <w:kern w:val="2"/>
                <w:sz w:val="21"/>
                <w:szCs w:val="24"/>
                <w:highlight w:val="none"/>
                <w:vertAlign w:val="baseline"/>
                <w:lang w:val="en-US" w:eastAsia="zh-CN" w:bidi="ar-SA"/>
              </w:rPr>
            </w:pPr>
          </w:p>
        </w:tc>
        <w:tc>
          <w:tcPr>
            <w:tcW w:w="9643" w:type="dxa"/>
            <w:gridSpan w:val="6"/>
            <w:noWrap w:val="0"/>
            <w:vAlign w:val="center"/>
          </w:tcPr>
          <w:p>
            <w:pPr>
              <w:pStyle w:val="2"/>
              <w:rPr>
                <w:rFonts w:hint="default" w:ascii="黑体" w:hAnsi="黑体" w:eastAsia="黑体" w:cs="黑体"/>
                <w:color w:val="auto"/>
                <w:sz w:val="18"/>
                <w:szCs w:val="18"/>
                <w:highlight w:val="none"/>
                <w:vertAlign w:val="baseline"/>
                <w:lang w:val="en-US" w:eastAsia="zh-CN"/>
              </w:rPr>
            </w:pPr>
            <w:r>
              <w:rPr>
                <w:rFonts w:hint="eastAsia" w:ascii="黑体" w:hAnsi="黑体" w:eastAsia="黑体" w:cs="黑体"/>
                <w:color w:val="auto"/>
                <w:sz w:val="18"/>
                <w:szCs w:val="18"/>
                <w:highlight w:val="none"/>
                <w:vertAlign w:val="baseline"/>
                <w:lang w:val="en-US" w:eastAsia="zh-CN"/>
              </w:rPr>
              <w:t>1.2024年09月（中原二季作区马铃薯节本轻简绿色生产关键技术创新与应用）获得农业技术推广成果单项类优选计划三等奖 省级1</w:t>
            </w:r>
          </w:p>
          <w:p>
            <w:pPr>
              <w:pStyle w:val="2"/>
              <w:rPr>
                <w:rFonts w:hint="eastAsia" w:ascii="黑体" w:hAnsi="黑体" w:eastAsia="黑体" w:cs="黑体"/>
                <w:color w:val="auto"/>
                <w:sz w:val="18"/>
                <w:szCs w:val="18"/>
                <w:highlight w:val="none"/>
                <w:vertAlign w:val="baseline"/>
                <w:lang w:val="en-US" w:eastAsia="zh-CN"/>
              </w:rPr>
            </w:pPr>
            <w:r>
              <w:rPr>
                <w:rFonts w:hint="eastAsia" w:ascii="黑体" w:hAnsi="黑体" w:eastAsia="黑体" w:cs="黑体"/>
                <w:color w:val="auto"/>
                <w:sz w:val="18"/>
                <w:szCs w:val="18"/>
                <w:highlight w:val="none"/>
                <w:vertAlign w:val="baseline"/>
                <w:lang w:val="en-US" w:eastAsia="zh-CN"/>
              </w:rPr>
              <w:t>2.2024年12月（基于减排固碳的马铃薯绿色生产与清洁循环关键技术集成与应用）获得山东省农业技术推广服务大竞赛优秀农业技术推广成果一等奖 省级2</w:t>
            </w:r>
          </w:p>
          <w:p>
            <w:pPr>
              <w:pStyle w:val="2"/>
              <w:numPr>
                <w:ilvl w:val="0"/>
                <w:numId w:val="1"/>
              </w:numPr>
              <w:jc w:val="left"/>
              <w:rPr>
                <w:rFonts w:hint="default" w:ascii="黑体" w:hAnsi="黑体" w:eastAsia="黑体" w:cs="黑体"/>
                <w:color w:val="auto"/>
                <w:sz w:val="18"/>
                <w:szCs w:val="18"/>
                <w:highlight w:val="none"/>
                <w:vertAlign w:val="baseline"/>
                <w:lang w:val="en-US" w:eastAsia="zh-CN"/>
              </w:rPr>
            </w:pPr>
            <w:r>
              <w:rPr>
                <w:rFonts w:hint="eastAsia" w:ascii="黑体" w:hAnsi="黑体" w:eastAsia="黑体" w:cs="黑体"/>
                <w:color w:val="auto"/>
                <w:sz w:val="18"/>
                <w:szCs w:val="18"/>
                <w:highlight w:val="none"/>
                <w:vertAlign w:val="baseline"/>
                <w:lang w:val="en-US" w:eastAsia="zh-CN"/>
              </w:rPr>
              <w:t>2024年12月（我省农村闲置宅基地盘活利用路径研究）获二等奖 省级2                                                                                                                                                    4.2023年12月（新型马铃薯土壤修复技术研发）获得山东省农业技术推广服务大竞赛优秀农业技术推广成果三等奖 省级3</w:t>
            </w:r>
          </w:p>
          <w:p>
            <w:pPr>
              <w:pStyle w:val="2"/>
              <w:rPr>
                <w:rFonts w:hint="eastAsia" w:ascii="黑体" w:hAnsi="黑体" w:eastAsia="黑体" w:cs="黑体"/>
                <w:color w:val="auto"/>
                <w:sz w:val="18"/>
                <w:szCs w:val="18"/>
                <w:highlight w:val="none"/>
                <w:vertAlign w:val="baseline"/>
                <w:lang w:val="en-US" w:eastAsia="zh-CN"/>
              </w:rPr>
            </w:pPr>
            <w:r>
              <w:rPr>
                <w:rFonts w:hint="eastAsia" w:ascii="黑体" w:hAnsi="黑体" w:eastAsia="黑体" w:cs="黑体"/>
                <w:color w:val="auto"/>
                <w:sz w:val="18"/>
                <w:szCs w:val="18"/>
                <w:highlight w:val="none"/>
                <w:vertAlign w:val="baseline"/>
                <w:lang w:val="en-US" w:eastAsia="zh-CN"/>
              </w:rPr>
              <w:t>5.2023年03月（滕州春季马铃薯生产技术规程）枣庄地方标准（市级、2/12）</w:t>
            </w:r>
          </w:p>
          <w:p>
            <w:pPr>
              <w:pStyle w:val="2"/>
              <w:rPr>
                <w:rFonts w:hint="eastAsia" w:ascii="黑体" w:hAnsi="黑体" w:eastAsia="黑体" w:cs="黑体"/>
                <w:color w:val="auto"/>
                <w:sz w:val="18"/>
                <w:szCs w:val="18"/>
                <w:highlight w:val="none"/>
                <w:vertAlign w:val="baseline"/>
                <w:lang w:val="en-US" w:eastAsia="zh-CN"/>
              </w:rPr>
            </w:pPr>
            <w:r>
              <w:rPr>
                <w:rFonts w:hint="eastAsia" w:ascii="黑体" w:hAnsi="黑体" w:eastAsia="黑体" w:cs="黑体"/>
                <w:color w:val="auto"/>
                <w:sz w:val="18"/>
                <w:szCs w:val="18"/>
                <w:highlight w:val="none"/>
                <w:vertAlign w:val="baseline"/>
                <w:lang w:val="en-US" w:eastAsia="zh-CN"/>
              </w:rPr>
              <w:t>6.2023年05月（马铃薯品种繁育、脱毒快繁及标准化生产技术体系创新与应用）三等奖（省级、1）</w:t>
            </w:r>
          </w:p>
          <w:p>
            <w:pPr>
              <w:pStyle w:val="2"/>
              <w:rPr>
                <w:rFonts w:hint="default" w:ascii="黑体" w:hAnsi="黑体" w:eastAsia="黑体" w:cs="黑体"/>
                <w:color w:val="auto"/>
                <w:sz w:val="18"/>
                <w:szCs w:val="18"/>
                <w:highlight w:val="none"/>
                <w:vertAlign w:val="baseline"/>
                <w:lang w:val="en-US" w:eastAsia="zh-CN"/>
              </w:rPr>
            </w:pPr>
            <w:r>
              <w:rPr>
                <w:rFonts w:hint="eastAsia" w:ascii="黑体" w:hAnsi="黑体" w:eastAsia="黑体" w:cs="黑体"/>
                <w:color w:val="auto"/>
                <w:sz w:val="18"/>
                <w:szCs w:val="18"/>
                <w:highlight w:val="none"/>
                <w:vertAlign w:val="baseline"/>
                <w:lang w:val="en-US" w:eastAsia="zh-CN"/>
              </w:rPr>
              <w:t>7.2022年06月（马铃薯品种选育、脱毒快繁及标准化生产技术体系创新与应用）二等奖（国家级、6）</w:t>
            </w:r>
          </w:p>
          <w:p>
            <w:pPr>
              <w:pStyle w:val="2"/>
              <w:rPr>
                <w:rFonts w:hint="default" w:ascii="黑体" w:hAnsi="黑体" w:eastAsia="黑体" w:cs="黑体"/>
                <w:color w:val="auto"/>
                <w:sz w:val="18"/>
                <w:szCs w:val="18"/>
                <w:highlight w:val="none"/>
                <w:vertAlign w:val="baseline"/>
                <w:lang w:val="en-US" w:eastAsia="zh-CN"/>
              </w:rPr>
            </w:pPr>
            <w:r>
              <w:rPr>
                <w:rFonts w:hint="eastAsia" w:ascii="黑体" w:hAnsi="黑体" w:eastAsia="黑体" w:cs="黑体"/>
                <w:color w:val="auto"/>
                <w:sz w:val="18"/>
                <w:szCs w:val="18"/>
                <w:highlight w:val="none"/>
                <w:vertAlign w:val="baseline"/>
                <w:lang w:val="en-US" w:eastAsia="zh-CN"/>
              </w:rPr>
              <w:t>8.2022年12月（中原二季作区加工型马铃薯“麦肯1号”高效栽培技术与示范）获得枣庄市职工创新创效竞赛三等奖 （市级、1/6）</w:t>
            </w:r>
          </w:p>
          <w:p>
            <w:pPr>
              <w:pStyle w:val="2"/>
              <w:rPr>
                <w:rFonts w:hint="eastAsia" w:ascii="黑体" w:hAnsi="黑体" w:eastAsia="黑体" w:cs="黑体"/>
                <w:color w:val="auto"/>
                <w:sz w:val="18"/>
                <w:szCs w:val="18"/>
                <w:highlight w:val="none"/>
                <w:vertAlign w:val="baseline"/>
                <w:lang w:val="en-US" w:eastAsia="zh-CN"/>
              </w:rPr>
            </w:pPr>
            <w:r>
              <w:rPr>
                <w:rFonts w:hint="eastAsia" w:ascii="黑体" w:hAnsi="黑体" w:eastAsia="黑体" w:cs="黑体"/>
                <w:color w:val="auto"/>
                <w:sz w:val="18"/>
                <w:szCs w:val="18"/>
                <w:highlight w:val="none"/>
                <w:vertAlign w:val="baseline"/>
                <w:lang w:val="en-US" w:eastAsia="zh-CN"/>
              </w:rPr>
              <w:t>9.2022年07月（马铃薯设施高效生产关键技术创新、集成及推广）获得山东省农技推广成果一等奖（省级、5/10）</w:t>
            </w:r>
          </w:p>
          <w:p>
            <w:pPr>
              <w:pStyle w:val="2"/>
              <w:rPr>
                <w:rFonts w:hint="eastAsia" w:ascii="黑体" w:hAnsi="黑体" w:eastAsia="黑体" w:cs="黑体"/>
                <w:color w:val="auto"/>
                <w:sz w:val="18"/>
                <w:szCs w:val="18"/>
                <w:highlight w:val="none"/>
                <w:vertAlign w:val="baseline"/>
                <w:lang w:val="en-US" w:eastAsia="zh-CN"/>
              </w:rPr>
            </w:pPr>
            <w:r>
              <w:rPr>
                <w:rFonts w:hint="eastAsia" w:ascii="黑体" w:hAnsi="黑体" w:eastAsia="黑体" w:cs="黑体"/>
                <w:color w:val="auto"/>
                <w:sz w:val="18"/>
                <w:szCs w:val="18"/>
                <w:highlight w:val="none"/>
                <w:vertAlign w:val="baseline"/>
                <w:lang w:val="en-US" w:eastAsia="zh-CN"/>
              </w:rPr>
              <w:t>10.2022年03月（脱毒甘薯新品种及优质高效关键技术集成示范）获得山东省科技进步二等奖（省级、4/20）</w:t>
            </w:r>
          </w:p>
          <w:p>
            <w:pPr>
              <w:pStyle w:val="2"/>
              <w:rPr>
                <w:rFonts w:hint="eastAsia" w:ascii="黑体" w:hAnsi="黑体" w:eastAsia="黑体" w:cs="黑体"/>
                <w:color w:val="auto"/>
                <w:sz w:val="18"/>
                <w:szCs w:val="18"/>
                <w:highlight w:val="none"/>
                <w:vertAlign w:val="baseline"/>
                <w:lang w:val="en-US" w:eastAsia="zh-CN"/>
              </w:rPr>
            </w:pPr>
            <w:r>
              <w:rPr>
                <w:rFonts w:hint="eastAsia" w:ascii="黑体" w:hAnsi="黑体" w:eastAsia="黑体" w:cs="黑体"/>
                <w:color w:val="auto"/>
                <w:sz w:val="18"/>
                <w:szCs w:val="18"/>
                <w:highlight w:val="none"/>
                <w:vertAlign w:val="baseline"/>
                <w:lang w:val="en-US" w:eastAsia="zh-CN"/>
              </w:rPr>
              <w:t>11.2022年09月（滕育1号）获得非主要农作物品种登记证书（国家级、1/11）</w:t>
            </w:r>
          </w:p>
          <w:p>
            <w:pPr>
              <w:pStyle w:val="2"/>
              <w:rPr>
                <w:rFonts w:hint="eastAsia" w:ascii="黑体" w:hAnsi="黑体" w:eastAsia="黑体" w:cs="黑体"/>
                <w:color w:val="auto"/>
                <w:sz w:val="18"/>
                <w:szCs w:val="18"/>
                <w:highlight w:val="none"/>
                <w:vertAlign w:val="baseline"/>
                <w:lang w:val="en-US" w:eastAsia="zh-CN"/>
              </w:rPr>
            </w:pPr>
            <w:r>
              <w:rPr>
                <w:rFonts w:hint="eastAsia" w:ascii="黑体" w:hAnsi="黑体" w:eastAsia="黑体" w:cs="黑体"/>
                <w:color w:val="auto"/>
                <w:sz w:val="18"/>
                <w:szCs w:val="18"/>
                <w:highlight w:val="none"/>
                <w:vertAlign w:val="baseline"/>
                <w:lang w:val="en-US" w:eastAsia="zh-CN"/>
              </w:rPr>
              <w:t>12.2022年09月（滕育2号）获得非主要农作物品种登记证书（国家级、1/11）</w:t>
            </w:r>
          </w:p>
          <w:p>
            <w:pPr>
              <w:pStyle w:val="2"/>
              <w:rPr>
                <w:rFonts w:hint="eastAsia" w:ascii="黑体" w:hAnsi="黑体" w:eastAsia="黑体" w:cs="黑体"/>
                <w:color w:val="auto"/>
                <w:sz w:val="18"/>
                <w:szCs w:val="18"/>
                <w:highlight w:val="none"/>
                <w:vertAlign w:val="baseline"/>
                <w:lang w:val="en-US" w:eastAsia="zh-CN"/>
              </w:rPr>
            </w:pPr>
            <w:r>
              <w:rPr>
                <w:rFonts w:hint="eastAsia" w:ascii="黑体" w:hAnsi="黑体" w:eastAsia="黑体" w:cs="黑体"/>
                <w:color w:val="auto"/>
                <w:sz w:val="18"/>
                <w:szCs w:val="18"/>
                <w:highlight w:val="none"/>
                <w:vertAlign w:val="baseline"/>
                <w:lang w:val="en-US" w:eastAsia="zh-CN"/>
              </w:rPr>
              <w:t>13.2021年12月（马铃薯根结线虫综合防治技术）获得枣庄市优秀创新成果三等奖（市级、1/5）</w:t>
            </w:r>
          </w:p>
          <w:p>
            <w:pPr>
              <w:pStyle w:val="2"/>
              <w:rPr>
                <w:rFonts w:hint="eastAsia" w:ascii="黑体" w:hAnsi="黑体" w:eastAsia="黑体" w:cs="黑体"/>
                <w:color w:val="auto"/>
                <w:sz w:val="18"/>
                <w:szCs w:val="18"/>
                <w:highlight w:val="none"/>
                <w:vertAlign w:val="baseline"/>
                <w:lang w:val="en-US" w:eastAsia="zh-CN"/>
              </w:rPr>
            </w:pPr>
            <w:r>
              <w:rPr>
                <w:rFonts w:hint="eastAsia" w:ascii="黑体" w:hAnsi="黑体" w:eastAsia="黑体" w:cs="黑体"/>
                <w:color w:val="auto"/>
                <w:sz w:val="18"/>
                <w:szCs w:val="18"/>
                <w:highlight w:val="none"/>
                <w:vertAlign w:val="baseline"/>
                <w:lang w:val="en-US" w:eastAsia="zh-CN"/>
              </w:rPr>
              <w:t>14.2020年08月（马铃薯水肥一体化技术规程）山东省地方标准（省级、8/8）</w:t>
            </w:r>
          </w:p>
          <w:p>
            <w:pPr>
              <w:pStyle w:val="2"/>
              <w:rPr>
                <w:rFonts w:hint="eastAsia" w:ascii="黑体" w:hAnsi="黑体" w:eastAsia="黑体" w:cs="黑体"/>
                <w:color w:val="auto"/>
                <w:sz w:val="18"/>
                <w:szCs w:val="18"/>
                <w:highlight w:val="none"/>
                <w:vertAlign w:val="baseline"/>
                <w:lang w:val="en-US" w:eastAsia="zh-CN"/>
              </w:rPr>
            </w:pPr>
            <w:r>
              <w:rPr>
                <w:rFonts w:hint="eastAsia" w:ascii="黑体" w:hAnsi="黑体" w:eastAsia="黑体" w:cs="黑体"/>
                <w:color w:val="auto"/>
                <w:sz w:val="18"/>
                <w:szCs w:val="18"/>
                <w:highlight w:val="none"/>
                <w:vertAlign w:val="baseline"/>
                <w:lang w:val="en-US" w:eastAsia="zh-CN"/>
              </w:rPr>
              <w:t>15.2012年03月（120万亩马铃薯设施高效栽培创新技术推广）获得山东省农牧渔业丰收奖（三等奖（省级、1）</w:t>
            </w:r>
          </w:p>
          <w:p>
            <w:pPr>
              <w:pStyle w:val="2"/>
              <w:rPr>
                <w:rFonts w:hint="eastAsia" w:ascii="黑体" w:hAnsi="黑体" w:eastAsia="黑体" w:cs="黑体"/>
                <w:color w:val="auto"/>
                <w:sz w:val="18"/>
                <w:szCs w:val="18"/>
                <w:highlight w:val="none"/>
                <w:vertAlign w:val="baseline"/>
                <w:lang w:val="en-US" w:eastAsia="zh-CN"/>
              </w:rPr>
            </w:pPr>
            <w:r>
              <w:rPr>
                <w:rFonts w:hint="eastAsia" w:ascii="黑体" w:hAnsi="黑体" w:eastAsia="黑体" w:cs="黑体"/>
                <w:color w:val="auto"/>
                <w:sz w:val="18"/>
                <w:szCs w:val="18"/>
                <w:highlight w:val="none"/>
                <w:vertAlign w:val="baseline"/>
                <w:lang w:val="en-US" w:eastAsia="zh-CN"/>
              </w:rPr>
              <w:t>16.2019年06月（马铃薯绿色生产技术体系构建与推广应用）获得山东省农牧渔业丰收奖三等奖（省级、2）</w:t>
            </w:r>
          </w:p>
          <w:p>
            <w:pPr>
              <w:pStyle w:val="2"/>
              <w:rPr>
                <w:rFonts w:hint="eastAsia" w:ascii="黑体" w:hAnsi="黑体" w:eastAsia="黑体" w:cs="黑体"/>
                <w:color w:val="auto"/>
                <w:sz w:val="18"/>
                <w:szCs w:val="18"/>
                <w:highlight w:val="none"/>
                <w:vertAlign w:val="baseline"/>
                <w:lang w:val="en-US" w:eastAsia="zh-CN"/>
              </w:rPr>
            </w:pPr>
            <w:r>
              <w:rPr>
                <w:rFonts w:hint="eastAsia" w:ascii="黑体" w:hAnsi="黑体" w:eastAsia="黑体" w:cs="黑体"/>
                <w:color w:val="auto"/>
                <w:sz w:val="18"/>
                <w:szCs w:val="18"/>
                <w:highlight w:val="none"/>
                <w:vertAlign w:val="baseline"/>
                <w:lang w:val="en-US" w:eastAsia="zh-CN"/>
              </w:rPr>
              <w:t>17.2014年02月（二季马铃薯高产高效育种技术研究与新品种选育）获得山东省科学技术奖三等奖（省级、8）</w:t>
            </w:r>
          </w:p>
          <w:p>
            <w:pPr>
              <w:pStyle w:val="2"/>
              <w:rPr>
                <w:rFonts w:hint="eastAsia" w:ascii="黑体" w:hAnsi="黑体" w:eastAsia="黑体" w:cs="黑体"/>
                <w:color w:val="auto"/>
                <w:sz w:val="18"/>
                <w:szCs w:val="18"/>
                <w:highlight w:val="none"/>
                <w:vertAlign w:val="baseline"/>
                <w:lang w:val="en-US" w:eastAsia="zh-CN"/>
              </w:rPr>
            </w:pPr>
            <w:r>
              <w:rPr>
                <w:rFonts w:hint="eastAsia" w:ascii="黑体" w:hAnsi="黑体" w:eastAsia="黑体" w:cs="黑体"/>
                <w:color w:val="auto"/>
                <w:sz w:val="18"/>
                <w:szCs w:val="18"/>
                <w:highlight w:val="none"/>
                <w:vertAlign w:val="baseline"/>
                <w:lang w:val="en-US" w:eastAsia="zh-CN"/>
              </w:rPr>
              <w:t>18.2010年05月（马铃薯肝颤搞笑栽培技术研究与示范推广）获得山东省农牧渔业丰收奖二等奖（省级、4）</w:t>
            </w:r>
          </w:p>
          <w:p>
            <w:pPr>
              <w:pStyle w:val="2"/>
              <w:rPr>
                <w:rFonts w:hint="eastAsia" w:ascii="黑体" w:hAnsi="黑体" w:eastAsia="黑体" w:cs="黑体"/>
                <w:color w:val="auto"/>
                <w:sz w:val="18"/>
                <w:szCs w:val="18"/>
                <w:highlight w:val="none"/>
                <w:vertAlign w:val="baseline"/>
                <w:lang w:val="en-US" w:eastAsia="zh-CN"/>
              </w:rPr>
            </w:pPr>
            <w:r>
              <w:rPr>
                <w:rFonts w:hint="eastAsia" w:ascii="黑体" w:hAnsi="黑体" w:eastAsia="黑体" w:cs="黑体"/>
                <w:color w:val="auto"/>
                <w:sz w:val="18"/>
                <w:szCs w:val="18"/>
                <w:highlight w:val="none"/>
                <w:vertAlign w:val="baseline"/>
                <w:lang w:val="en-US" w:eastAsia="zh-CN"/>
              </w:rPr>
              <w:t>19.2009年09月（滕州市地区春马铃薯贮藏期间营养成分变化趋势分析及贮藏建议）获得市科学技术进步奖三等奖（市级、1）</w:t>
            </w:r>
          </w:p>
          <w:p>
            <w:pPr>
              <w:pStyle w:val="2"/>
              <w:rPr>
                <w:rFonts w:hint="eastAsia" w:ascii="黑体" w:hAnsi="黑体" w:eastAsia="黑体" w:cs="黑体"/>
                <w:color w:val="auto"/>
                <w:sz w:val="18"/>
                <w:szCs w:val="18"/>
                <w:highlight w:val="none"/>
                <w:vertAlign w:val="baseline"/>
                <w:lang w:val="en-US" w:eastAsia="zh-CN"/>
              </w:rPr>
            </w:pPr>
            <w:r>
              <w:rPr>
                <w:rFonts w:hint="eastAsia" w:ascii="黑体" w:hAnsi="黑体" w:eastAsia="黑体" w:cs="黑体"/>
                <w:color w:val="auto"/>
                <w:sz w:val="18"/>
                <w:szCs w:val="18"/>
                <w:highlight w:val="none"/>
                <w:vertAlign w:val="baseline"/>
                <w:lang w:val="en-US" w:eastAsia="zh-CN"/>
              </w:rPr>
              <w:t>20.2010年10月（绿色食品马铃薯质量控制技术研究与示范）获得市科学技术进步奖二等奖（市级、2）</w:t>
            </w:r>
          </w:p>
          <w:p>
            <w:pPr>
              <w:pStyle w:val="2"/>
              <w:rPr>
                <w:rFonts w:hint="eastAsia" w:ascii="黑体" w:hAnsi="黑体" w:eastAsia="黑体" w:cs="黑体"/>
                <w:color w:val="auto"/>
                <w:sz w:val="18"/>
                <w:szCs w:val="18"/>
                <w:highlight w:val="none"/>
                <w:vertAlign w:val="baseline"/>
                <w:lang w:val="en-US" w:eastAsia="zh-CN"/>
              </w:rPr>
            </w:pPr>
            <w:r>
              <w:rPr>
                <w:rFonts w:hint="eastAsia" w:ascii="黑体" w:hAnsi="黑体" w:eastAsia="黑体" w:cs="黑体"/>
                <w:color w:val="auto"/>
                <w:sz w:val="18"/>
                <w:szCs w:val="18"/>
                <w:highlight w:val="none"/>
                <w:vertAlign w:val="baseline"/>
                <w:lang w:val="en-US" w:eastAsia="zh-CN"/>
              </w:rPr>
              <w:t>21.2011年08月（滕州狮子头大黄心白菜保纯与品种选育）获得市科学技术进步奖三等奖（市级、5）</w:t>
            </w:r>
          </w:p>
          <w:p>
            <w:pPr>
              <w:pStyle w:val="2"/>
              <w:rPr>
                <w:rFonts w:hint="eastAsia" w:ascii="黑体" w:hAnsi="黑体" w:eastAsia="黑体" w:cs="黑体"/>
                <w:color w:val="auto"/>
                <w:sz w:val="18"/>
                <w:szCs w:val="18"/>
                <w:highlight w:val="none"/>
                <w:vertAlign w:val="baseline"/>
                <w:lang w:val="en-US" w:eastAsia="zh-CN"/>
              </w:rPr>
            </w:pPr>
            <w:r>
              <w:rPr>
                <w:rFonts w:hint="eastAsia" w:ascii="黑体" w:hAnsi="黑体" w:eastAsia="黑体" w:cs="黑体"/>
                <w:color w:val="auto"/>
                <w:sz w:val="18"/>
                <w:szCs w:val="18"/>
                <w:highlight w:val="none"/>
                <w:vertAlign w:val="baseline"/>
                <w:lang w:val="en-US" w:eastAsia="zh-CN"/>
              </w:rPr>
              <w:t>22.2012年06月（豇豆新品种选育与配套技术研发）获得市科学技术进步奖二等奖（市级、5）</w:t>
            </w:r>
          </w:p>
          <w:p>
            <w:pPr>
              <w:pStyle w:val="2"/>
              <w:rPr>
                <w:rFonts w:hint="eastAsia" w:ascii="黑体" w:hAnsi="黑体" w:eastAsia="黑体" w:cs="黑体"/>
                <w:color w:val="auto"/>
                <w:sz w:val="18"/>
                <w:szCs w:val="18"/>
                <w:highlight w:val="none"/>
                <w:vertAlign w:val="baseline"/>
                <w:lang w:val="en-US" w:eastAsia="zh-CN"/>
              </w:rPr>
            </w:pPr>
            <w:r>
              <w:rPr>
                <w:rFonts w:hint="eastAsia" w:ascii="黑体" w:hAnsi="黑体" w:eastAsia="黑体" w:cs="黑体"/>
                <w:color w:val="auto"/>
                <w:sz w:val="18"/>
                <w:szCs w:val="18"/>
                <w:highlight w:val="none"/>
                <w:vertAlign w:val="baseline"/>
                <w:lang w:val="en-US" w:eastAsia="zh-CN"/>
              </w:rPr>
              <w:t>23.2013年06月（马铃薯秸秆机械化还田技术集成与示范）获得市科学技术进步奖二等奖（市级、1）</w:t>
            </w:r>
          </w:p>
          <w:p>
            <w:pPr>
              <w:pStyle w:val="2"/>
              <w:rPr>
                <w:rFonts w:hint="eastAsia" w:ascii="黑体" w:hAnsi="黑体" w:eastAsia="黑体" w:cs="黑体"/>
                <w:color w:val="auto"/>
                <w:sz w:val="18"/>
                <w:szCs w:val="18"/>
                <w:highlight w:val="none"/>
                <w:vertAlign w:val="baseline"/>
                <w:lang w:val="en-US" w:eastAsia="zh-CN"/>
              </w:rPr>
            </w:pPr>
            <w:r>
              <w:rPr>
                <w:rFonts w:hint="eastAsia" w:ascii="黑体" w:hAnsi="黑体" w:eastAsia="黑体" w:cs="黑体"/>
                <w:color w:val="auto"/>
                <w:sz w:val="18"/>
                <w:szCs w:val="18"/>
                <w:highlight w:val="none"/>
                <w:vertAlign w:val="baseline"/>
                <w:lang w:val="en-US" w:eastAsia="zh-CN"/>
              </w:rPr>
              <w:t>24.2014年06月（秸秆生物快速转化及新型生物有机肥创新与应用）获得市科学技术进步奖二等奖（市级、2）</w:t>
            </w:r>
          </w:p>
          <w:p>
            <w:pPr>
              <w:pStyle w:val="2"/>
              <w:rPr>
                <w:rFonts w:hint="eastAsia" w:ascii="黑体" w:hAnsi="黑体" w:eastAsia="黑体" w:cs="黑体"/>
                <w:color w:val="auto"/>
                <w:sz w:val="18"/>
                <w:szCs w:val="18"/>
                <w:highlight w:val="none"/>
                <w:vertAlign w:val="baseline"/>
                <w:lang w:val="en-US" w:eastAsia="zh-CN"/>
              </w:rPr>
            </w:pPr>
            <w:r>
              <w:rPr>
                <w:rFonts w:hint="eastAsia" w:ascii="黑体" w:hAnsi="黑体" w:eastAsia="黑体" w:cs="黑体"/>
                <w:color w:val="auto"/>
                <w:sz w:val="18"/>
                <w:szCs w:val="18"/>
                <w:highlight w:val="none"/>
                <w:vertAlign w:val="baseline"/>
                <w:lang w:val="en-US" w:eastAsia="zh-CN"/>
              </w:rPr>
              <w:t>25.2014年06月（二季作区春马铃薯膜上覆土技术研究与应用）获得市科学技术进步奖二等奖（市级、1）</w:t>
            </w:r>
          </w:p>
          <w:p>
            <w:pPr>
              <w:pStyle w:val="2"/>
              <w:rPr>
                <w:rFonts w:hint="eastAsia" w:ascii="黑体" w:hAnsi="黑体" w:eastAsia="黑体" w:cs="黑体"/>
                <w:color w:val="auto"/>
                <w:sz w:val="18"/>
                <w:szCs w:val="18"/>
                <w:highlight w:val="none"/>
                <w:vertAlign w:val="baseline"/>
                <w:lang w:val="en-US" w:eastAsia="zh-CN"/>
              </w:rPr>
            </w:pPr>
            <w:r>
              <w:rPr>
                <w:rFonts w:hint="eastAsia" w:ascii="黑体" w:hAnsi="黑体" w:eastAsia="黑体" w:cs="黑体"/>
                <w:color w:val="auto"/>
                <w:sz w:val="18"/>
                <w:szCs w:val="18"/>
                <w:highlight w:val="none"/>
                <w:vertAlign w:val="baseline"/>
                <w:lang w:val="en-US" w:eastAsia="zh-CN"/>
              </w:rPr>
              <w:t>26.2015年06月（航空植保结合地面专业化防治控制玉米中后期病虫害技术与应用）获得市科学技术进步奖二等奖（市级、1）</w:t>
            </w:r>
          </w:p>
          <w:p>
            <w:pPr>
              <w:pStyle w:val="2"/>
              <w:rPr>
                <w:rFonts w:hint="eastAsia" w:ascii="黑体" w:hAnsi="黑体" w:eastAsia="黑体" w:cs="黑体"/>
                <w:color w:val="auto"/>
                <w:sz w:val="18"/>
                <w:szCs w:val="18"/>
                <w:highlight w:val="none"/>
                <w:vertAlign w:val="baseline"/>
                <w:lang w:val="en-US" w:eastAsia="zh-CN"/>
              </w:rPr>
            </w:pPr>
            <w:r>
              <w:rPr>
                <w:rFonts w:hint="eastAsia" w:ascii="黑体" w:hAnsi="黑体" w:eastAsia="黑体" w:cs="黑体"/>
                <w:color w:val="auto"/>
                <w:sz w:val="18"/>
                <w:szCs w:val="18"/>
                <w:highlight w:val="none"/>
                <w:vertAlign w:val="baseline"/>
                <w:lang w:val="en-US" w:eastAsia="zh-CN"/>
              </w:rPr>
              <w:t>27.2017年05月（滕州市马铃薯黑痣病发生现状及绿色防控技术研究）获得市科学技术进步奖二等奖（市级、1）</w:t>
            </w:r>
          </w:p>
          <w:p>
            <w:pPr>
              <w:pStyle w:val="2"/>
              <w:rPr>
                <w:rFonts w:hint="eastAsia" w:ascii="黑体" w:hAnsi="黑体" w:eastAsia="黑体" w:cs="黑体"/>
                <w:color w:val="auto"/>
                <w:sz w:val="18"/>
                <w:szCs w:val="18"/>
                <w:highlight w:val="none"/>
                <w:vertAlign w:val="baseline"/>
                <w:lang w:val="en-US" w:eastAsia="zh-CN"/>
              </w:rPr>
            </w:pPr>
            <w:r>
              <w:rPr>
                <w:rFonts w:hint="eastAsia" w:ascii="黑体" w:hAnsi="黑体" w:eastAsia="黑体" w:cs="黑体"/>
                <w:color w:val="auto"/>
                <w:sz w:val="18"/>
                <w:szCs w:val="18"/>
                <w:highlight w:val="none"/>
                <w:vertAlign w:val="baseline"/>
                <w:lang w:val="en-US" w:eastAsia="zh-CN"/>
              </w:rPr>
              <w:t>28.2019年2月 （二季作马铃薯高产高效育种技术研究及新品种选育）山东省科技进步三等奖（省级、8）</w:t>
            </w:r>
          </w:p>
          <w:p>
            <w:pPr>
              <w:pStyle w:val="2"/>
              <w:rPr>
                <w:rFonts w:hint="default" w:ascii="黑体" w:hAnsi="黑体" w:eastAsia="黑体" w:cs="黑体"/>
                <w:color w:val="auto"/>
                <w:sz w:val="18"/>
                <w:szCs w:val="18"/>
                <w:highlight w:val="none"/>
                <w:vertAlign w:val="baseline"/>
                <w:lang w:val="en-US" w:eastAsia="zh-CN"/>
              </w:rPr>
            </w:pPr>
          </w:p>
          <w:p>
            <w:pPr>
              <w:pStyle w:val="2"/>
              <w:rPr>
                <w:rFonts w:hint="default" w:ascii="黑体" w:hAnsi="黑体" w:eastAsia="黑体" w:cs="黑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7" w:hRule="atLeast"/>
          <w:jc w:val="center"/>
        </w:trPr>
        <w:tc>
          <w:tcPr>
            <w:tcW w:w="659" w:type="dxa"/>
            <w:vMerge w:val="continue"/>
            <w:noWrap w:val="0"/>
            <w:vAlign w:val="center"/>
          </w:tcPr>
          <w:p>
            <w:pPr>
              <w:jc w:val="center"/>
              <w:rPr>
                <w:rFonts w:hint="default" w:ascii="Times New Roman" w:hAnsi="Times New Roman" w:eastAsia="黑体" w:cs="Times New Roman"/>
                <w:color w:val="auto"/>
                <w:highlight w:val="none"/>
                <w:vertAlign w:val="baseline"/>
                <w:lang w:eastAsia="zh-CN"/>
              </w:rPr>
            </w:pPr>
          </w:p>
        </w:tc>
        <w:tc>
          <w:tcPr>
            <w:tcW w:w="790" w:type="dxa"/>
            <w:noWrap w:val="0"/>
            <w:vAlign w:val="center"/>
          </w:tcPr>
          <w:p>
            <w:pPr>
              <w:jc w:val="center"/>
              <w:rPr>
                <w:rFonts w:hint="default" w:ascii="Times New Roman" w:hAnsi="Times New Roman" w:eastAsia="黑体" w:cs="Times New Roman"/>
                <w:color w:val="auto"/>
                <w:highlight w:val="none"/>
                <w:vertAlign w:val="baseline"/>
                <w:lang w:eastAsia="zh-CN"/>
              </w:rPr>
            </w:pPr>
            <w:r>
              <w:rPr>
                <w:rFonts w:hint="default" w:ascii="Times New Roman" w:hAnsi="Times New Roman" w:eastAsia="黑体" w:cs="Times New Roman"/>
                <w:color w:val="auto"/>
                <w:highlight w:val="none"/>
                <w:vertAlign w:val="baseline"/>
                <w:lang w:eastAsia="zh-CN"/>
              </w:rPr>
              <w:t>个人荣誉</w:t>
            </w:r>
          </w:p>
          <w:p>
            <w:pPr>
              <w:jc w:val="center"/>
              <w:rPr>
                <w:rFonts w:hint="default" w:ascii="Times New Roman" w:hAnsi="Times New Roman" w:eastAsia="黑体" w:cs="Times New Roman"/>
                <w:color w:val="auto"/>
                <w:highlight w:val="none"/>
                <w:vertAlign w:val="baseline"/>
                <w:lang w:eastAsia="zh-CN"/>
              </w:rPr>
            </w:pPr>
          </w:p>
        </w:tc>
        <w:tc>
          <w:tcPr>
            <w:tcW w:w="9717" w:type="dxa"/>
            <w:gridSpan w:val="10"/>
            <w:noWrap w:val="0"/>
            <w:vAlign w:val="center"/>
          </w:tcPr>
          <w:p>
            <w:pPr>
              <w:pStyle w:val="2"/>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1.2025年04月  获得市级“枣庄市先进工作者”（中共枣庄市委  枣庄市人民政府）</w:t>
            </w:r>
          </w:p>
          <w:p>
            <w:pPr>
              <w:pStyle w:val="2"/>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2.2025年03月  获得市级“滕州</w:t>
            </w:r>
            <w:r>
              <w:rPr>
                <w:rFonts w:hint="default" w:ascii="黑体" w:hAnsi="黑体" w:eastAsia="黑体" w:cs="黑体"/>
                <w:color w:val="auto"/>
                <w:kern w:val="2"/>
                <w:sz w:val="18"/>
                <w:szCs w:val="18"/>
                <w:highlight w:val="none"/>
                <w:vertAlign w:val="baseline"/>
                <w:lang w:val="en-US" w:eastAsia="zh-CN" w:bidi="ar-SA"/>
              </w:rPr>
              <w:t>市老科协先进</w:t>
            </w:r>
            <w:r>
              <w:rPr>
                <w:rFonts w:hint="eastAsia" w:ascii="黑体" w:hAnsi="黑体" w:eastAsia="黑体" w:cs="黑体"/>
                <w:color w:val="auto"/>
                <w:kern w:val="2"/>
                <w:sz w:val="18"/>
                <w:szCs w:val="18"/>
                <w:highlight w:val="none"/>
                <w:vertAlign w:val="baseline"/>
                <w:lang w:val="en-US" w:eastAsia="zh-CN" w:bidi="ar-SA"/>
              </w:rPr>
              <w:t>个人”（</w:t>
            </w:r>
            <w:r>
              <w:rPr>
                <w:rFonts w:hint="default" w:ascii="黑体" w:hAnsi="黑体" w:eastAsia="黑体" w:cs="黑体"/>
                <w:color w:val="auto"/>
                <w:kern w:val="2"/>
                <w:sz w:val="18"/>
                <w:szCs w:val="18"/>
                <w:highlight w:val="none"/>
                <w:vertAlign w:val="baseline"/>
                <w:lang w:val="en-US" w:eastAsia="zh-CN" w:bidi="ar-SA"/>
              </w:rPr>
              <w:t>滕州市老科技工作者协会</w:t>
            </w:r>
            <w:r>
              <w:rPr>
                <w:rFonts w:hint="eastAsia" w:ascii="黑体" w:hAnsi="黑体" w:eastAsia="黑体" w:cs="黑体"/>
                <w:color w:val="auto"/>
                <w:kern w:val="2"/>
                <w:sz w:val="18"/>
                <w:szCs w:val="18"/>
                <w:highlight w:val="none"/>
                <w:vertAlign w:val="baseli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3.2025年03月  获得市级“山东省</w:t>
            </w:r>
            <w:r>
              <w:rPr>
                <w:rFonts w:hint="default" w:ascii="黑体" w:hAnsi="黑体" w:eastAsia="黑体" w:cs="黑体"/>
                <w:color w:val="auto"/>
                <w:kern w:val="2"/>
                <w:sz w:val="18"/>
                <w:szCs w:val="18"/>
                <w:highlight w:val="none"/>
                <w:vertAlign w:val="baseline"/>
                <w:lang w:val="en-US" w:eastAsia="zh-CN" w:bidi="ar-SA"/>
              </w:rPr>
              <w:t>老科协先进</w:t>
            </w:r>
            <w:r>
              <w:rPr>
                <w:rFonts w:hint="eastAsia" w:ascii="黑体" w:hAnsi="黑体" w:eastAsia="黑体" w:cs="黑体"/>
                <w:color w:val="auto"/>
                <w:kern w:val="2"/>
                <w:sz w:val="18"/>
                <w:szCs w:val="18"/>
                <w:highlight w:val="none"/>
                <w:vertAlign w:val="baseline"/>
                <w:lang w:val="en-US" w:eastAsia="zh-CN" w:bidi="ar-SA"/>
              </w:rPr>
              <w:t>个人”（山东省</w:t>
            </w:r>
            <w:r>
              <w:rPr>
                <w:rFonts w:hint="default" w:ascii="黑体" w:hAnsi="黑体" w:eastAsia="黑体" w:cs="黑体"/>
                <w:color w:val="auto"/>
                <w:kern w:val="2"/>
                <w:sz w:val="18"/>
                <w:szCs w:val="18"/>
                <w:highlight w:val="none"/>
                <w:vertAlign w:val="baseline"/>
                <w:lang w:val="en-US" w:eastAsia="zh-CN" w:bidi="ar-SA"/>
              </w:rPr>
              <w:t>老科技工作者协会</w:t>
            </w:r>
            <w:r>
              <w:rPr>
                <w:rFonts w:hint="eastAsia" w:ascii="黑体" w:hAnsi="黑体" w:eastAsia="黑体" w:cs="黑体"/>
                <w:color w:val="auto"/>
                <w:kern w:val="2"/>
                <w:sz w:val="18"/>
                <w:szCs w:val="18"/>
                <w:highlight w:val="none"/>
                <w:vertAlign w:val="baseli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4.2024年08月  获得市级“枣庄市科普专家工作室”（枣庄市科学技术协会、枣庄市科学技术局）</w:t>
            </w:r>
          </w:p>
          <w:p>
            <w:pPr>
              <w:pStyle w:val="2"/>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5.2024年       获得市级“枣庄市巾帼建国标兵”（枣庄市妇女联合会）</w:t>
            </w:r>
          </w:p>
          <w:p>
            <w:pPr>
              <w:pStyle w:val="2"/>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6.2024年03月  获得市级“枣庄好人”（枣庄市精神文明建设委员会办公室）</w:t>
            </w:r>
          </w:p>
          <w:p>
            <w:pPr>
              <w:pStyle w:val="2"/>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7.2023年11月  获得市级“最美善城人”（中共滕州市委宣传部、滕州市精神文明建设委员会办公室）</w:t>
            </w:r>
          </w:p>
          <w:p>
            <w:pPr>
              <w:pStyle w:val="2"/>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8.2023年11月  获得市级“</w:t>
            </w:r>
            <w:r>
              <w:rPr>
                <w:rFonts w:hint="default" w:ascii="黑体" w:hAnsi="黑体" w:eastAsia="黑体" w:cs="黑体"/>
                <w:color w:val="auto"/>
                <w:kern w:val="2"/>
                <w:sz w:val="18"/>
                <w:szCs w:val="18"/>
                <w:highlight w:val="none"/>
                <w:vertAlign w:val="baseline"/>
                <w:lang w:val="en-US" w:eastAsia="zh-CN" w:bidi="ar-SA"/>
              </w:rPr>
              <w:t xml:space="preserve">2023 </w:t>
            </w:r>
            <w:r>
              <w:rPr>
                <w:rFonts w:hint="eastAsia" w:ascii="黑体" w:hAnsi="黑体" w:eastAsia="黑体" w:cs="黑体"/>
                <w:color w:val="auto"/>
                <w:kern w:val="2"/>
                <w:sz w:val="18"/>
                <w:szCs w:val="18"/>
                <w:highlight w:val="none"/>
                <w:vertAlign w:val="baseline"/>
                <w:lang w:val="en-US" w:eastAsia="zh-CN" w:bidi="ar-SA"/>
              </w:rPr>
              <w:t>年全省科技特派员绩效评价优秀人员”（山东省科学技术厅、中共山东省委组织部、山东省人力资源和社会保障厅）</w:t>
            </w:r>
          </w:p>
          <w:p>
            <w:pPr>
              <w:pStyle w:val="2"/>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9.2022年4月  枣庄嘉奖</w:t>
            </w:r>
          </w:p>
          <w:p>
            <w:pPr>
              <w:pStyle w:val="2"/>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10.2022年12月  获得省级山东省新时代岗位建功劳动竞赛标兵（山东省总工会）</w:t>
            </w:r>
          </w:p>
          <w:p>
            <w:pPr>
              <w:pStyle w:val="2"/>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11.2022年05月  获得县级先进个人嘉奖（中共滕州市委、滕州市人民政府）</w:t>
            </w:r>
          </w:p>
          <w:p>
            <w:pPr>
              <w:pStyle w:val="2"/>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12.2022年04月  获得市级嘉奖（枣庄市人力资源和社会保障局、枣庄市科学技术协会）</w:t>
            </w:r>
          </w:p>
          <w:p>
            <w:pPr>
              <w:pStyle w:val="2"/>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13.2022年1月   获得农业农村部农情基点县先进个人（全国农业技术推广服务中心）</w:t>
            </w:r>
          </w:p>
          <w:p>
            <w:pPr>
              <w:pStyle w:val="2"/>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14.2021年12月  获得市级“枣庄市创新能手”（枣庄市总工会）</w:t>
            </w:r>
          </w:p>
          <w:p>
            <w:pPr>
              <w:pStyle w:val="2"/>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15.2021年05月  获得市级枣庄市优秀科技工作者（枣庄市人力资源和社会保障局、枣庄市科学技术协会）</w:t>
            </w:r>
          </w:p>
          <w:p>
            <w:pPr>
              <w:pStyle w:val="2"/>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16.2021年04月  获得县级“滕州工匠”（中共滕州市委、滕州市人民政府）</w:t>
            </w:r>
          </w:p>
          <w:p>
            <w:pPr>
              <w:pStyle w:val="2"/>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17.2017年05月 获得枣庄市优秀科技工作者（枣庄市人力资源和社会保障局、枣庄市科学技术协会）</w:t>
            </w:r>
          </w:p>
          <w:p>
            <w:pPr>
              <w:pStyle w:val="2"/>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18.2017年04月 获得“滕州市劳动模范称号”</w:t>
            </w:r>
          </w:p>
          <w:p>
            <w:pPr>
              <w:pStyle w:val="2"/>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19.2013年04月 获得嘉奖（枣庄市人力资源和社会保障局、枣庄市农业局）</w:t>
            </w:r>
          </w:p>
          <w:p>
            <w:pPr>
              <w:pStyle w:val="2"/>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20.2012年03月 获得滕州市“三八”红旗手</w:t>
            </w:r>
          </w:p>
          <w:p>
            <w:pPr>
              <w:pStyle w:val="2"/>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21.2019年3月  获得滕州市“三八”红旗手</w:t>
            </w:r>
          </w:p>
          <w:p>
            <w:pPr>
              <w:pStyle w:val="2"/>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22.2018年2月  全省农技推广先进个人</w:t>
            </w:r>
          </w:p>
          <w:p>
            <w:pPr>
              <w:pStyle w:val="2"/>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23.2018年10月 最美农技员</w:t>
            </w:r>
          </w:p>
          <w:p>
            <w:pPr>
              <w:pStyle w:val="2"/>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24.2017年03月 获得全市“两学一做”学习教育工作标兵</w:t>
            </w:r>
          </w:p>
          <w:p>
            <w:pPr>
              <w:pStyle w:val="2"/>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25.2017年02月 获得全市农业工作先进个人</w:t>
            </w:r>
          </w:p>
          <w:p>
            <w:pPr>
              <w:pStyle w:val="2"/>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26.2016年12月 获得2015-2016年度“枣庄好人”</w:t>
            </w:r>
          </w:p>
          <w:p>
            <w:pPr>
              <w:pStyle w:val="2"/>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27.2012年6月  服务标兵</w:t>
            </w:r>
          </w:p>
          <w:p>
            <w:pPr>
              <w:pStyle w:val="2"/>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28.2012年12月 获得“全省食用菌行业先进工作者”</w:t>
            </w:r>
          </w:p>
          <w:p>
            <w:pPr>
              <w:pStyle w:val="2"/>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29.2007年04月 获得“山东省小蘑菇新农村建设先进个人”</w:t>
            </w:r>
          </w:p>
          <w:p>
            <w:pPr>
              <w:pStyle w:val="2"/>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30.2006年3月  嘉奖</w:t>
            </w:r>
          </w:p>
        </w:tc>
        <w:tc>
          <w:tcPr>
            <w:tcW w:w="734"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黑体" w:cs="Times New Roman"/>
                <w:color w:val="auto"/>
                <w:kern w:val="2"/>
                <w:sz w:val="21"/>
                <w:szCs w:val="24"/>
                <w:highlight w:val="none"/>
                <w:vertAlign w:val="baseline"/>
                <w:lang w:val="en-US" w:eastAsia="zh-CN" w:bidi="ar-SA"/>
              </w:rPr>
            </w:pPr>
            <w:r>
              <w:rPr>
                <w:rFonts w:hint="default" w:ascii="Times New Roman" w:hAnsi="Times New Roman" w:eastAsia="黑体" w:cs="Times New Roman"/>
                <w:color w:val="auto"/>
                <w:highlight w:val="none"/>
                <w:vertAlign w:val="baseline"/>
                <w:lang w:eastAsia="zh-CN"/>
              </w:rPr>
              <w:t>专利情况</w:t>
            </w:r>
          </w:p>
        </w:tc>
        <w:tc>
          <w:tcPr>
            <w:tcW w:w="964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1.2023年04月16日  （一种复合微生物肥料及其LTC营养螯合生产工艺）、（1/4）、（发明专利、己授权）</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2.2023年04月25日 （一种大葱苗高度削减设备）、（1/10）、（发明专利、己授权）</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3.2021年07月07日 （一种韭菜迟眼蕈蚊的监测诱杀方法）、（4/10）、（发明专利、己授权）</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黑体" w:hAnsi="黑体" w:eastAsia="黑体" w:cs="黑体"/>
                <w:color w:val="auto"/>
                <w:kern w:val="2"/>
                <w:sz w:val="18"/>
                <w:szCs w:val="18"/>
                <w:highlight w:val="none"/>
                <w:vertAlign w:val="baseline"/>
                <w:lang w:val="en-US" w:eastAsia="zh-CN" w:bidi="ar-SA"/>
              </w:rPr>
            </w:pPr>
            <w:r>
              <w:rPr>
                <w:rFonts w:hint="default" w:ascii="黑体" w:hAnsi="黑体" w:eastAsia="黑体" w:cs="黑体"/>
                <w:color w:val="auto"/>
                <w:kern w:val="2"/>
                <w:sz w:val="18"/>
                <w:szCs w:val="18"/>
                <w:highlight w:val="none"/>
                <w:vertAlign w:val="baseline"/>
                <w:lang w:val="en-US" w:eastAsia="zh-CN" w:bidi="ar-SA"/>
              </w:rPr>
              <w:t>4</w:t>
            </w:r>
            <w:r>
              <w:rPr>
                <w:rFonts w:hint="eastAsia" w:ascii="黑体" w:hAnsi="黑体" w:eastAsia="黑体" w:cs="黑体"/>
                <w:color w:val="auto"/>
                <w:kern w:val="2"/>
                <w:sz w:val="18"/>
                <w:szCs w:val="18"/>
                <w:highlight w:val="none"/>
                <w:vertAlign w:val="baseline"/>
                <w:lang w:val="en-US" w:eastAsia="zh-CN" w:bidi="ar-SA"/>
              </w:rPr>
              <w:t>.2024年01月05日  （一种马铃薯分层施肥设备）、（1/5）、（实用新型专利、己授权）</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黑体" w:hAnsi="黑体" w:eastAsia="黑体" w:cs="黑体"/>
                <w:color w:val="auto"/>
                <w:kern w:val="2"/>
                <w:sz w:val="18"/>
                <w:szCs w:val="18"/>
                <w:highlight w:val="none"/>
                <w:vertAlign w:val="baseline"/>
                <w:lang w:val="en-US" w:eastAsia="zh-CN" w:bidi="ar-SA"/>
              </w:rPr>
            </w:pPr>
            <w:r>
              <w:rPr>
                <w:rFonts w:hint="default" w:ascii="黑体" w:hAnsi="黑体" w:eastAsia="黑体" w:cs="黑体"/>
                <w:color w:val="auto"/>
                <w:kern w:val="2"/>
                <w:sz w:val="18"/>
                <w:szCs w:val="18"/>
                <w:highlight w:val="none"/>
                <w:vertAlign w:val="baseline"/>
                <w:lang w:val="en-US" w:eastAsia="zh-CN" w:bidi="ar-SA"/>
              </w:rPr>
              <w:t>5</w:t>
            </w:r>
            <w:r>
              <w:rPr>
                <w:rFonts w:hint="eastAsia" w:ascii="黑体" w:hAnsi="黑体" w:eastAsia="黑体" w:cs="黑体"/>
                <w:color w:val="auto"/>
                <w:kern w:val="2"/>
                <w:sz w:val="18"/>
                <w:szCs w:val="18"/>
                <w:highlight w:val="none"/>
                <w:vertAlign w:val="baseline"/>
                <w:lang w:val="en-US" w:eastAsia="zh-CN" w:bidi="ar-SA"/>
              </w:rPr>
              <w:t>.2024年01月26日  （一种农药搅拌器）、（1/5）、（实用新型专利、己授权）</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黑体" w:hAnsi="黑体" w:eastAsia="黑体" w:cs="黑体"/>
                <w:color w:val="auto"/>
                <w:kern w:val="2"/>
                <w:sz w:val="18"/>
                <w:szCs w:val="18"/>
                <w:highlight w:val="none"/>
                <w:vertAlign w:val="baseline"/>
                <w:lang w:val="en-US" w:eastAsia="zh-CN" w:bidi="ar-SA"/>
              </w:rPr>
            </w:pPr>
            <w:r>
              <w:rPr>
                <w:rFonts w:hint="default" w:ascii="黑体" w:hAnsi="黑体" w:eastAsia="黑体" w:cs="黑体"/>
                <w:color w:val="auto"/>
                <w:kern w:val="2"/>
                <w:sz w:val="18"/>
                <w:szCs w:val="18"/>
                <w:highlight w:val="none"/>
                <w:vertAlign w:val="baseline"/>
                <w:lang w:val="en-US" w:eastAsia="zh-CN" w:bidi="ar-SA"/>
              </w:rPr>
              <w:t>6</w:t>
            </w:r>
            <w:r>
              <w:rPr>
                <w:rFonts w:hint="eastAsia" w:ascii="黑体" w:hAnsi="黑体" w:eastAsia="黑体" w:cs="黑体"/>
                <w:color w:val="auto"/>
                <w:kern w:val="2"/>
                <w:sz w:val="18"/>
                <w:szCs w:val="18"/>
                <w:highlight w:val="none"/>
                <w:vertAlign w:val="baseline"/>
                <w:lang w:val="en-US" w:eastAsia="zh-CN" w:bidi="ar-SA"/>
              </w:rPr>
              <w:t>.2022年5月9日（一种玉米秸秆粉粹刀头）（1/15）（实用新型专利、己授权）</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黑体" w:hAnsi="黑体" w:eastAsia="黑体" w:cs="黑体"/>
                <w:color w:val="auto"/>
                <w:kern w:val="2"/>
                <w:sz w:val="18"/>
                <w:szCs w:val="18"/>
                <w:highlight w:val="none"/>
                <w:vertAlign w:val="baseline"/>
                <w:lang w:val="en-US" w:eastAsia="zh-CN" w:bidi="ar-SA"/>
              </w:rPr>
            </w:pPr>
            <w:r>
              <w:rPr>
                <w:rFonts w:hint="default" w:ascii="黑体" w:hAnsi="黑体" w:eastAsia="黑体" w:cs="黑体"/>
                <w:color w:val="auto"/>
                <w:kern w:val="2"/>
                <w:sz w:val="18"/>
                <w:szCs w:val="18"/>
                <w:highlight w:val="none"/>
                <w:vertAlign w:val="baseline"/>
                <w:lang w:val="en-US" w:eastAsia="zh-CN" w:bidi="ar-SA"/>
              </w:rPr>
              <w:t>7</w:t>
            </w:r>
            <w:r>
              <w:rPr>
                <w:rFonts w:hint="eastAsia" w:ascii="黑体" w:hAnsi="黑体" w:eastAsia="黑体" w:cs="黑体"/>
                <w:color w:val="auto"/>
                <w:kern w:val="2"/>
                <w:sz w:val="18"/>
                <w:szCs w:val="18"/>
                <w:highlight w:val="none"/>
                <w:vertAlign w:val="baseline"/>
                <w:lang w:val="en-US" w:eastAsia="zh-CN" w:bidi="ar-SA"/>
              </w:rPr>
              <w:t>.2023年03月16日  （一种大葱苗高度削减设备）、（1/10）、（实用新型专利、己授权）</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黑体" w:hAnsi="黑体" w:eastAsia="黑体" w:cs="黑体"/>
                <w:color w:val="auto"/>
                <w:kern w:val="2"/>
                <w:sz w:val="18"/>
                <w:szCs w:val="18"/>
                <w:highlight w:val="none"/>
                <w:vertAlign w:val="baseline"/>
                <w:lang w:val="en-US" w:eastAsia="zh-CN" w:bidi="ar-SA"/>
              </w:rPr>
            </w:pPr>
            <w:r>
              <w:rPr>
                <w:rFonts w:hint="default" w:ascii="黑体" w:hAnsi="黑体" w:eastAsia="黑体" w:cs="黑体"/>
                <w:color w:val="auto"/>
                <w:kern w:val="2"/>
                <w:sz w:val="18"/>
                <w:szCs w:val="18"/>
                <w:highlight w:val="none"/>
                <w:vertAlign w:val="baseline"/>
                <w:lang w:val="en-US" w:eastAsia="zh-CN" w:bidi="ar-SA"/>
              </w:rPr>
              <w:t>8</w:t>
            </w:r>
            <w:r>
              <w:rPr>
                <w:rFonts w:hint="eastAsia" w:ascii="黑体" w:hAnsi="黑体" w:eastAsia="黑体" w:cs="黑体"/>
                <w:color w:val="auto"/>
                <w:kern w:val="2"/>
                <w:sz w:val="18"/>
                <w:szCs w:val="18"/>
                <w:highlight w:val="none"/>
                <w:vertAlign w:val="baseline"/>
                <w:lang w:val="en-US" w:eastAsia="zh-CN" w:bidi="ar-SA"/>
              </w:rPr>
              <w:t>.2022年02月18日  （一种个人公众微信号智能展示装置）、（1/6）、（实用新型专利、己授权）</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黑体" w:hAnsi="黑体" w:eastAsia="黑体" w:cs="黑体"/>
                <w:color w:val="auto"/>
                <w:kern w:val="2"/>
                <w:sz w:val="18"/>
                <w:szCs w:val="18"/>
                <w:highlight w:val="none"/>
                <w:vertAlign w:val="baseline"/>
                <w:lang w:val="en-US" w:eastAsia="zh-CN" w:bidi="ar-SA"/>
              </w:rPr>
            </w:pPr>
            <w:r>
              <w:rPr>
                <w:rFonts w:hint="default" w:ascii="黑体" w:hAnsi="黑体" w:eastAsia="黑体" w:cs="黑体"/>
                <w:color w:val="auto"/>
                <w:kern w:val="2"/>
                <w:sz w:val="18"/>
                <w:szCs w:val="18"/>
                <w:highlight w:val="none"/>
                <w:vertAlign w:val="baseline"/>
                <w:lang w:val="en-US" w:eastAsia="zh-CN" w:bidi="ar-SA"/>
              </w:rPr>
              <w:t>9</w:t>
            </w:r>
            <w:r>
              <w:rPr>
                <w:rFonts w:hint="eastAsia" w:ascii="黑体" w:hAnsi="黑体" w:eastAsia="黑体" w:cs="黑体"/>
                <w:color w:val="auto"/>
                <w:kern w:val="2"/>
                <w:sz w:val="18"/>
                <w:szCs w:val="18"/>
                <w:highlight w:val="none"/>
                <w:vertAlign w:val="baseline"/>
                <w:lang w:val="en-US" w:eastAsia="zh-CN" w:bidi="ar-SA"/>
              </w:rPr>
              <w:t>.2021年11月09日  （一种马铃薯原种培养架）（1/5）、（实用新型专利、己授权）</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1</w:t>
            </w:r>
            <w:r>
              <w:rPr>
                <w:rFonts w:hint="default" w:ascii="黑体" w:hAnsi="黑体" w:eastAsia="黑体" w:cs="黑体"/>
                <w:color w:val="auto"/>
                <w:kern w:val="2"/>
                <w:sz w:val="18"/>
                <w:szCs w:val="18"/>
                <w:highlight w:val="none"/>
                <w:vertAlign w:val="baseline"/>
                <w:lang w:val="en-US" w:eastAsia="zh-CN" w:bidi="ar-SA"/>
              </w:rPr>
              <w:t>0</w:t>
            </w:r>
            <w:r>
              <w:rPr>
                <w:rFonts w:hint="eastAsia" w:ascii="黑体" w:hAnsi="黑体" w:eastAsia="黑体" w:cs="黑体"/>
                <w:color w:val="auto"/>
                <w:kern w:val="2"/>
                <w:sz w:val="18"/>
                <w:szCs w:val="18"/>
                <w:highlight w:val="none"/>
                <w:vertAlign w:val="baseline"/>
                <w:lang w:val="en-US" w:eastAsia="zh-CN" w:bidi="ar-SA"/>
              </w:rPr>
              <w:t>.2021年11月09日  （一种马铃薯接种工具用灭菌器）（1/5）、（实用新型专利、己授权）</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1</w:t>
            </w:r>
            <w:r>
              <w:rPr>
                <w:rFonts w:hint="default" w:ascii="黑体" w:hAnsi="黑体" w:eastAsia="黑体" w:cs="黑体"/>
                <w:color w:val="auto"/>
                <w:kern w:val="2"/>
                <w:sz w:val="18"/>
                <w:szCs w:val="18"/>
                <w:highlight w:val="none"/>
                <w:vertAlign w:val="baseline"/>
                <w:lang w:val="en-US" w:eastAsia="zh-CN" w:bidi="ar-SA"/>
              </w:rPr>
              <w:t>1</w:t>
            </w:r>
            <w:r>
              <w:rPr>
                <w:rFonts w:hint="eastAsia" w:ascii="黑体" w:hAnsi="黑体" w:eastAsia="黑体" w:cs="黑体"/>
                <w:color w:val="auto"/>
                <w:kern w:val="2"/>
                <w:sz w:val="18"/>
                <w:szCs w:val="18"/>
                <w:highlight w:val="none"/>
                <w:vertAlign w:val="baseline"/>
                <w:lang w:val="en-US" w:eastAsia="zh-CN" w:bidi="ar-SA"/>
              </w:rPr>
              <w:t>.2021年10月12日  （一种用于生产土壤修复菌剂的混料分离循环装置）（1/4）、（实用新型专利、己授权）</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1</w:t>
            </w:r>
            <w:r>
              <w:rPr>
                <w:rFonts w:hint="default" w:ascii="黑体" w:hAnsi="黑体" w:eastAsia="黑体" w:cs="黑体"/>
                <w:color w:val="auto"/>
                <w:kern w:val="2"/>
                <w:sz w:val="18"/>
                <w:szCs w:val="18"/>
                <w:highlight w:val="none"/>
                <w:vertAlign w:val="baseline"/>
                <w:lang w:val="en-US" w:eastAsia="zh-CN" w:bidi="ar-SA"/>
              </w:rPr>
              <w:t>2</w:t>
            </w:r>
            <w:r>
              <w:rPr>
                <w:rFonts w:hint="eastAsia" w:ascii="黑体" w:hAnsi="黑体" w:eastAsia="黑体" w:cs="黑体"/>
                <w:color w:val="auto"/>
                <w:kern w:val="2"/>
                <w:sz w:val="18"/>
                <w:szCs w:val="18"/>
                <w:highlight w:val="none"/>
                <w:vertAlign w:val="baseline"/>
                <w:lang w:val="en-US" w:eastAsia="zh-CN" w:bidi="ar-SA"/>
              </w:rPr>
              <w:t>.2021年08月 27日 （一种定时搅拌发酵灌）（1/4）、（实用新型专利、己授权）</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1</w:t>
            </w:r>
            <w:r>
              <w:rPr>
                <w:rFonts w:hint="default" w:ascii="黑体" w:hAnsi="黑体" w:eastAsia="黑体" w:cs="黑体"/>
                <w:color w:val="auto"/>
                <w:kern w:val="2"/>
                <w:sz w:val="18"/>
                <w:szCs w:val="18"/>
                <w:highlight w:val="none"/>
                <w:vertAlign w:val="baseline"/>
                <w:lang w:val="en-US" w:eastAsia="zh-CN" w:bidi="ar-SA"/>
              </w:rPr>
              <w:t>3</w:t>
            </w:r>
            <w:r>
              <w:rPr>
                <w:rFonts w:hint="eastAsia" w:ascii="黑体" w:hAnsi="黑体" w:eastAsia="黑体" w:cs="黑体"/>
                <w:color w:val="auto"/>
                <w:kern w:val="2"/>
                <w:sz w:val="18"/>
                <w:szCs w:val="18"/>
                <w:highlight w:val="none"/>
                <w:vertAlign w:val="baseline"/>
                <w:lang w:val="en-US" w:eastAsia="zh-CN" w:bidi="ar-SA"/>
              </w:rPr>
              <w:t>.2021年02月17日  （农产品生产情况记录及分析系统）（2/5）、（软件著作、己授权）</w:t>
            </w:r>
          </w:p>
          <w:p>
            <w:pPr>
              <w:pStyle w:val="2"/>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1</w:t>
            </w:r>
            <w:r>
              <w:rPr>
                <w:rFonts w:hint="default" w:ascii="黑体" w:hAnsi="黑体" w:eastAsia="黑体" w:cs="黑体"/>
                <w:color w:val="auto"/>
                <w:kern w:val="2"/>
                <w:sz w:val="18"/>
                <w:szCs w:val="18"/>
                <w:highlight w:val="none"/>
                <w:vertAlign w:val="baseline"/>
                <w:lang w:val="en-US" w:eastAsia="zh-CN" w:bidi="ar-SA"/>
              </w:rPr>
              <w:t>4</w:t>
            </w:r>
            <w:r>
              <w:rPr>
                <w:rFonts w:hint="eastAsia" w:ascii="黑体" w:hAnsi="黑体" w:eastAsia="黑体" w:cs="黑体"/>
                <w:color w:val="auto"/>
                <w:kern w:val="2"/>
                <w:sz w:val="18"/>
                <w:szCs w:val="18"/>
                <w:highlight w:val="none"/>
                <w:vertAlign w:val="baseline"/>
                <w:lang w:val="en-US" w:eastAsia="zh-CN" w:bidi="ar-SA"/>
              </w:rPr>
              <w:t>.2020年05月25日 （一种菌泥烘干房）、（1/4）、（实用新型专利、己授权）</w:t>
            </w:r>
          </w:p>
          <w:p>
            <w:pPr>
              <w:pStyle w:val="2"/>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1</w:t>
            </w:r>
            <w:r>
              <w:rPr>
                <w:rFonts w:hint="default" w:ascii="黑体" w:hAnsi="黑体" w:eastAsia="黑体" w:cs="黑体"/>
                <w:color w:val="auto"/>
                <w:kern w:val="2"/>
                <w:sz w:val="18"/>
                <w:szCs w:val="18"/>
                <w:highlight w:val="none"/>
                <w:vertAlign w:val="baseline"/>
                <w:lang w:val="en-US" w:eastAsia="zh-CN" w:bidi="ar-SA"/>
              </w:rPr>
              <w:t>5</w:t>
            </w:r>
            <w:r>
              <w:rPr>
                <w:rFonts w:hint="eastAsia" w:ascii="黑体" w:hAnsi="黑体" w:eastAsia="黑体" w:cs="黑体"/>
                <w:color w:val="auto"/>
                <w:kern w:val="2"/>
                <w:sz w:val="18"/>
                <w:szCs w:val="18"/>
                <w:highlight w:val="none"/>
                <w:vertAlign w:val="baseline"/>
                <w:lang w:val="en-US" w:eastAsia="zh-CN" w:bidi="ar-SA"/>
              </w:rPr>
              <w:t>.2012年08月22日 （地膜铺放器）、（1/9）、（实用新型专利、己授权）</w:t>
            </w:r>
          </w:p>
          <w:p>
            <w:pPr>
              <w:pStyle w:val="2"/>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黑体" w:hAnsi="黑体" w:eastAsia="黑体" w:cs="黑体"/>
                <w:color w:val="auto"/>
                <w:kern w:val="2"/>
                <w:sz w:val="18"/>
                <w:szCs w:val="18"/>
                <w:highlight w:val="none"/>
                <w:vertAlign w:val="baseli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黑体" w:cs="Times New Roman"/>
                <w:color w:val="auto"/>
                <w:kern w:val="2"/>
                <w:sz w:val="21"/>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9" w:hRule="atLeast"/>
          <w:jc w:val="center"/>
        </w:trPr>
        <w:tc>
          <w:tcPr>
            <w:tcW w:w="659" w:type="dxa"/>
            <w:vMerge w:val="continue"/>
            <w:noWrap w:val="0"/>
            <w:vAlign w:val="center"/>
          </w:tcPr>
          <w:p>
            <w:pPr>
              <w:jc w:val="center"/>
              <w:rPr>
                <w:rFonts w:hint="default" w:ascii="Times New Roman" w:hAnsi="Times New Roman" w:eastAsia="黑体" w:cs="Times New Roman"/>
                <w:color w:val="auto"/>
                <w:highlight w:val="none"/>
                <w:vertAlign w:val="baseline"/>
                <w:lang w:eastAsia="zh-CN"/>
              </w:rPr>
            </w:pPr>
          </w:p>
        </w:tc>
        <w:tc>
          <w:tcPr>
            <w:tcW w:w="790" w:type="dxa"/>
            <w:noWrap w:val="0"/>
            <w:vAlign w:val="center"/>
          </w:tcPr>
          <w:p>
            <w:pPr>
              <w:jc w:val="center"/>
              <w:rPr>
                <w:rFonts w:hint="default" w:ascii="Times New Roman" w:hAnsi="Times New Roman" w:eastAsia="黑体" w:cs="Times New Roman"/>
                <w:color w:val="auto"/>
                <w:highlight w:val="none"/>
                <w:vertAlign w:val="baseline"/>
                <w:lang w:eastAsia="zh-CN"/>
              </w:rPr>
            </w:pPr>
            <w:r>
              <w:rPr>
                <w:rFonts w:hint="default" w:ascii="Times New Roman" w:hAnsi="Times New Roman" w:eastAsia="黑体" w:cs="Times New Roman"/>
                <w:color w:val="auto"/>
                <w:highlight w:val="none"/>
                <w:vertAlign w:val="baseline"/>
                <w:lang w:eastAsia="zh-CN"/>
              </w:rPr>
              <w:t>论文、著作情况</w:t>
            </w:r>
          </w:p>
          <w:p>
            <w:pPr>
              <w:jc w:val="center"/>
              <w:rPr>
                <w:rFonts w:hint="default" w:ascii="Times New Roman" w:hAnsi="Times New Roman" w:eastAsia="黑体" w:cs="Times New Roman"/>
                <w:color w:val="auto"/>
                <w:highlight w:val="none"/>
                <w:vertAlign w:val="baseline"/>
                <w:lang w:eastAsia="zh-CN"/>
              </w:rPr>
            </w:pPr>
          </w:p>
        </w:tc>
        <w:tc>
          <w:tcPr>
            <w:tcW w:w="9717" w:type="dxa"/>
            <w:gridSpan w:val="10"/>
            <w:noWrap w:val="0"/>
            <w:vAlign w:val="center"/>
          </w:tcPr>
          <w:p>
            <w:pPr>
              <w:pStyle w:val="2"/>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1.2024年12月 （马铃薯栽培实用技术）、（人民天舟（北京）出版有限公司）主编、1/5</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2.2023年05月 （马铃薯间、套、轮作）（气象出版社）、主编</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3.2021年05月 （中国高原地区马铃薯栽培）（中国农业出版社）、副主编</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4.2023年12月 （黄土高原食用豆类）（中国农业科学技术出版社）、副主编</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5.2021年12月 （瓜菜优质高效栽培与病虫害防治技术）、（北京工业大学出版社）、副主编1/1</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6.2021年12月 （现代农业技术推广与农学研究）、（吉林科学技术出版社）、副主编1/1</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7.2010年04月 （滕州马铃薯研究）、（中国农业科学技术出版社）、副主编1/12</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8.2009年10月 （秸秆无公害高效栽培食用菌实用技术）、（江西科学技术出版社）、副主编1/4</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9.12.2025年04月 （早春马铃薯灾害性气候预防及灾后管理措施）（农业知识）、1/4</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13.2024年11月 （马铃薯新品种-“滕育1号”种植管理技术）（农业知识）、1/3</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14.2024年01月 （马铃薯减本增效栽培技术要点）（农业知识）、1/4</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15.2024年05月 （马铃薯机械化膜上覆土、膜下滴灌栽培技术）（中国蔬菜）、1/4</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16.2022年08月 （滕州市早春拱棚马铃薯高效栽培技术）（中国蔬菜）、1/6</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17.2021年09月 （不同覆膜模式对马铃薯保护地栽培环境及生长特性的影）（山东农业科学）、1/6</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18.2021年03月 （两种以早春马铃薯为主的一年三熟高效栽培模式）、（中国蔬菜）、5/5通讯作者</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19.2022年11月 （简易型拱棚早春马铃薯栽培技术）、（农业工程技术）、1/6</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20.2020年 （山东首次发现南方根结线虫危害马铃薯）、（中国马铃薯）、1/5</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21.2020年 （益农信息社推动滕州马铃薯产业发展的作用方向与发展前景）、（中国马铃薯）、2/5</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22.2023年07月 （山东省秋马铃薯高产栽培技术）、（农业知识）、1/4</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23.2022年05月 （滕州市鲜食水果玉米高效种植技术模式）、（农业知识）、6/6</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24.2022年04月（中原二季作区早春马铃薯倒春寒预防措施及灾后管理）、（农业知识）、1/5</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25.2022年02月（早春马铃薯生产管理技术）、（农业知识）、1/3</w:t>
            </w:r>
          </w:p>
          <w:p>
            <w:pPr>
              <w:pStyle w:val="2"/>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lang w:val="en-US" w:eastAsia="zh-CN"/>
              </w:rPr>
            </w:pPr>
            <w:r>
              <w:rPr>
                <w:rFonts w:hint="eastAsia" w:ascii="黑体" w:hAnsi="黑体" w:eastAsia="黑体" w:cs="黑体"/>
                <w:color w:val="auto"/>
                <w:kern w:val="2"/>
                <w:sz w:val="18"/>
                <w:szCs w:val="18"/>
                <w:highlight w:val="none"/>
                <w:vertAlign w:val="baseline"/>
                <w:lang w:val="en-US" w:eastAsia="zh-CN" w:bidi="ar-SA"/>
              </w:rPr>
              <w:t>26.2021年  （小麦种植过程中施肥技术的应用要点） 现代农业研究 1/1</w:t>
            </w:r>
          </w:p>
          <w:p>
            <w:pPr>
              <w:pStyle w:val="2"/>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26.2016年04月（马铃薯药害产生的原因与预防措施）（农业与技术）1/5</w:t>
            </w:r>
          </w:p>
          <w:p>
            <w:pPr>
              <w:pStyle w:val="2"/>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27.2015年04月（防控番茄灰叶斑病的化学药剂和生防菌株研究）（吉林农业科学）4/4</w:t>
            </w:r>
          </w:p>
          <w:p>
            <w:pPr>
              <w:pStyle w:val="2"/>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黑体" w:hAnsi="黑体" w:eastAsia="黑体" w:cs="黑体"/>
                <w:color w:val="auto"/>
                <w:kern w:val="2"/>
                <w:sz w:val="18"/>
                <w:szCs w:val="18"/>
                <w:highlight w:val="none"/>
                <w:vertAlign w:val="baseline"/>
                <w:lang w:val="en-US" w:eastAsia="zh-CN" w:bidi="ar-SA"/>
              </w:rPr>
            </w:pPr>
            <w:r>
              <w:rPr>
                <w:rFonts w:hint="eastAsia" w:ascii="黑体" w:hAnsi="黑体" w:eastAsia="黑体" w:cs="黑体"/>
                <w:color w:val="auto"/>
                <w:kern w:val="2"/>
                <w:sz w:val="18"/>
                <w:szCs w:val="18"/>
                <w:highlight w:val="none"/>
                <w:vertAlign w:val="baseline"/>
                <w:lang w:val="en-US" w:eastAsia="zh-CN" w:bidi="ar-SA"/>
              </w:rPr>
              <w:t>28.2015年04月 （马铃薯膜上覆土最佳厚度和时间）（中国马铃薯）1/3</w:t>
            </w:r>
          </w:p>
        </w:tc>
        <w:tc>
          <w:tcPr>
            <w:tcW w:w="734"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黑体" w:cs="Times New Roman"/>
                <w:color w:val="auto"/>
                <w:kern w:val="2"/>
                <w:sz w:val="21"/>
                <w:szCs w:val="24"/>
                <w:highlight w:val="none"/>
                <w:vertAlign w:val="baseline"/>
                <w:lang w:val="en-US" w:eastAsia="zh-CN" w:bidi="ar-SA"/>
              </w:rPr>
            </w:pPr>
            <w:r>
              <w:rPr>
                <w:rFonts w:hint="default" w:ascii="Times New Roman" w:hAnsi="Times New Roman" w:eastAsia="黑体" w:cs="Times New Roman"/>
                <w:color w:val="auto"/>
                <w:highlight w:val="none"/>
                <w:vertAlign w:val="baseline"/>
                <w:lang w:eastAsia="zh-CN"/>
              </w:rPr>
              <w:t>行业</w:t>
            </w:r>
            <w:r>
              <w:rPr>
                <w:rFonts w:hint="eastAsia" w:ascii="Times New Roman" w:hAnsi="Times New Roman" w:eastAsia="黑体" w:cs="Times New Roman"/>
                <w:color w:val="auto"/>
                <w:highlight w:val="none"/>
                <w:vertAlign w:val="baseline"/>
                <w:lang w:val="en-US" w:eastAsia="zh-CN"/>
              </w:rPr>
              <w:t>/</w:t>
            </w:r>
            <w:r>
              <w:rPr>
                <w:rFonts w:hint="default" w:ascii="Times New Roman" w:hAnsi="Times New Roman" w:eastAsia="黑体" w:cs="Times New Roman"/>
                <w:color w:val="auto"/>
                <w:highlight w:val="none"/>
                <w:vertAlign w:val="baseline"/>
                <w:lang w:eastAsia="zh-CN"/>
              </w:rPr>
              <w:t>领域内突出贡献</w:t>
            </w:r>
          </w:p>
        </w:tc>
        <w:tc>
          <w:tcPr>
            <w:tcW w:w="964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黑体" w:hAnsi="黑体" w:eastAsia="黑体" w:cs="黑体"/>
                <w:color w:val="auto"/>
                <w:sz w:val="18"/>
                <w:szCs w:val="18"/>
                <w:highlight w:val="none"/>
                <w:vertAlign w:val="baseline"/>
                <w:lang w:val="en-US" w:eastAsia="zh-CN"/>
              </w:rPr>
            </w:pPr>
            <w:r>
              <w:rPr>
                <w:rFonts w:hint="default" w:eastAsia="宋体"/>
                <w:lang w:val="en-US" w:eastAsia="zh-CN"/>
              </w:rPr>
              <w:t>1.</w:t>
            </w:r>
            <w:r>
              <w:rPr>
                <w:rFonts w:hint="eastAsia" w:eastAsia="宋体"/>
                <w:lang w:val="en-US" w:eastAsia="zh-CN"/>
              </w:rPr>
              <w:t>力</w:t>
            </w:r>
            <w:r>
              <w:rPr>
                <w:rFonts w:hint="eastAsia" w:ascii="黑体" w:hAnsi="黑体" w:eastAsia="黑体" w:cs="黑体"/>
                <w:color w:val="auto"/>
                <w:sz w:val="18"/>
                <w:szCs w:val="18"/>
                <w:highlight w:val="none"/>
                <w:vertAlign w:val="baseline"/>
                <w:lang w:val="en-US" w:eastAsia="zh-CN"/>
              </w:rPr>
              <w:t>耕马铃薯产业24年，打造成全国马铃薯集散地、全国鲜食马铃薯风向标。</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黑体" w:hAnsi="黑体" w:eastAsia="黑体" w:cs="黑体"/>
                <w:color w:val="auto"/>
                <w:sz w:val="18"/>
                <w:szCs w:val="18"/>
                <w:highlight w:val="none"/>
                <w:vertAlign w:val="baseline"/>
                <w:lang w:val="en-US" w:eastAsia="zh-CN"/>
              </w:rPr>
            </w:pPr>
            <w:r>
              <w:rPr>
                <w:rFonts w:hint="default" w:ascii="黑体" w:hAnsi="黑体" w:eastAsia="黑体" w:cs="黑体"/>
                <w:color w:val="auto"/>
                <w:sz w:val="18"/>
                <w:szCs w:val="18"/>
                <w:highlight w:val="none"/>
                <w:vertAlign w:val="baseline"/>
                <w:lang w:val="en-US" w:eastAsia="zh-CN"/>
              </w:rPr>
              <w:t>2.</w:t>
            </w:r>
            <w:r>
              <w:rPr>
                <w:rFonts w:hint="eastAsia" w:ascii="黑体" w:hAnsi="黑体" w:eastAsia="黑体" w:cs="黑体"/>
                <w:color w:val="auto"/>
                <w:sz w:val="18"/>
                <w:szCs w:val="18"/>
                <w:highlight w:val="none"/>
                <w:vertAlign w:val="baseline"/>
                <w:lang w:val="en-US" w:eastAsia="zh-CN"/>
              </w:rPr>
              <w:t>全国马铃薯的高产记录。</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黑体" w:hAnsi="黑体" w:eastAsia="黑体" w:cs="黑体"/>
                <w:color w:val="auto"/>
                <w:sz w:val="18"/>
                <w:szCs w:val="18"/>
                <w:highlight w:val="none"/>
                <w:vertAlign w:val="baseline"/>
                <w:lang w:val="en-US" w:eastAsia="zh-CN"/>
              </w:rPr>
            </w:pPr>
            <w:r>
              <w:rPr>
                <w:rFonts w:hint="default" w:ascii="黑体" w:hAnsi="黑体" w:eastAsia="黑体" w:cs="黑体"/>
                <w:color w:val="auto"/>
                <w:sz w:val="18"/>
                <w:szCs w:val="18"/>
                <w:highlight w:val="none"/>
                <w:vertAlign w:val="baseline"/>
                <w:lang w:val="en-US" w:eastAsia="zh-CN"/>
              </w:rPr>
              <w:t>3.</w:t>
            </w:r>
            <w:r>
              <w:rPr>
                <w:rFonts w:hint="eastAsia" w:ascii="黑体" w:hAnsi="黑体" w:eastAsia="黑体" w:cs="黑体"/>
                <w:color w:val="auto"/>
                <w:sz w:val="18"/>
                <w:szCs w:val="18"/>
                <w:highlight w:val="none"/>
                <w:vertAlign w:val="baseline"/>
                <w:lang w:val="en-US" w:eastAsia="zh-CN"/>
              </w:rPr>
              <w:t>国马铃薯新品种展示基地。</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黑体" w:hAnsi="黑体" w:eastAsia="黑体" w:cs="黑体"/>
                <w:color w:val="auto"/>
                <w:sz w:val="18"/>
                <w:szCs w:val="18"/>
                <w:highlight w:val="none"/>
                <w:vertAlign w:val="baseline"/>
                <w:lang w:val="en-US" w:eastAsia="zh-CN"/>
              </w:rPr>
            </w:pPr>
            <w:r>
              <w:rPr>
                <w:rFonts w:hint="default" w:ascii="黑体" w:hAnsi="黑体" w:eastAsia="黑体" w:cs="黑体"/>
                <w:color w:val="auto"/>
                <w:sz w:val="18"/>
                <w:szCs w:val="18"/>
                <w:highlight w:val="none"/>
                <w:vertAlign w:val="baseline"/>
                <w:lang w:val="en-US" w:eastAsia="zh-CN"/>
              </w:rPr>
              <w:t>4.</w:t>
            </w:r>
            <w:r>
              <w:rPr>
                <w:rFonts w:hint="eastAsia" w:ascii="黑体" w:hAnsi="黑体" w:eastAsia="黑体" w:cs="黑体"/>
                <w:color w:val="auto"/>
                <w:sz w:val="18"/>
                <w:szCs w:val="18"/>
                <w:highlight w:val="none"/>
                <w:vertAlign w:val="baseline"/>
                <w:lang w:val="en-US" w:eastAsia="zh-CN"/>
              </w:rPr>
              <w:t>滕州市食用菌庭院经济被全国食用菌产业体系作为经典案例写入食用菌栽培学。</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黑体" w:hAnsi="黑体" w:eastAsia="黑体" w:cs="黑体"/>
                <w:color w:val="auto"/>
                <w:sz w:val="18"/>
                <w:szCs w:val="18"/>
                <w:highlight w:val="none"/>
                <w:vertAlign w:val="baseline"/>
                <w:lang w:val="en-US" w:eastAsia="zh-CN"/>
              </w:rPr>
            </w:pPr>
            <w:r>
              <w:rPr>
                <w:rFonts w:hint="default" w:ascii="黑体" w:hAnsi="黑体" w:eastAsia="黑体" w:cs="黑体"/>
                <w:color w:val="auto"/>
                <w:sz w:val="18"/>
                <w:szCs w:val="18"/>
                <w:highlight w:val="none"/>
                <w:vertAlign w:val="baseline"/>
                <w:lang w:val="en-US" w:eastAsia="zh-CN"/>
              </w:rPr>
              <w:t>5.</w:t>
            </w:r>
            <w:r>
              <w:rPr>
                <w:rFonts w:hint="eastAsia" w:ascii="黑体" w:hAnsi="黑体" w:eastAsia="黑体" w:cs="黑体"/>
                <w:color w:val="auto"/>
                <w:sz w:val="18"/>
                <w:szCs w:val="18"/>
                <w:highlight w:val="none"/>
                <w:vertAlign w:val="baseline"/>
                <w:lang w:val="en-US" w:eastAsia="zh-CN"/>
              </w:rPr>
              <w:t>马铃薯富硒栽培获副省长陈平、滕州市市委书记王广部签批。</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黑体" w:hAnsi="黑体" w:eastAsia="黑体" w:cs="黑体"/>
                <w:color w:val="auto"/>
                <w:sz w:val="18"/>
                <w:szCs w:val="18"/>
                <w:highlight w:val="none"/>
                <w:vertAlign w:val="baseline"/>
                <w:lang w:val="en-US" w:eastAsia="zh-CN"/>
              </w:rPr>
            </w:pPr>
            <w:r>
              <w:rPr>
                <w:rFonts w:hint="default" w:ascii="黑体" w:hAnsi="黑体" w:eastAsia="黑体" w:cs="黑体"/>
                <w:color w:val="auto"/>
                <w:sz w:val="18"/>
                <w:szCs w:val="18"/>
                <w:highlight w:val="none"/>
                <w:vertAlign w:val="baseline"/>
                <w:lang w:val="en-US" w:eastAsia="zh-CN"/>
              </w:rPr>
              <w:t>6.</w:t>
            </w:r>
            <w:r>
              <w:rPr>
                <w:rFonts w:hint="eastAsia" w:ascii="黑体" w:hAnsi="黑体" w:eastAsia="黑体" w:cs="黑体"/>
                <w:color w:val="auto"/>
                <w:sz w:val="18"/>
                <w:szCs w:val="18"/>
                <w:highlight w:val="none"/>
                <w:vertAlign w:val="baseline"/>
                <w:lang w:val="en-US" w:eastAsia="zh-CN"/>
              </w:rPr>
              <w:t>际薯业博览会滕州市马铃薯、甘薯新品种展示获国家农业农村部通报表扬。</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黑体" w:hAnsi="黑体" w:eastAsia="黑体" w:cs="黑体"/>
                <w:color w:val="auto"/>
                <w:sz w:val="18"/>
                <w:szCs w:val="18"/>
                <w:highlight w:val="none"/>
                <w:vertAlign w:val="baseline"/>
                <w:lang w:val="en-US" w:eastAsia="zh-CN"/>
              </w:rPr>
            </w:pPr>
            <w:r>
              <w:rPr>
                <w:rFonts w:hint="default" w:ascii="黑体" w:hAnsi="黑体" w:eastAsia="黑体" w:cs="黑体"/>
                <w:color w:val="auto"/>
                <w:sz w:val="18"/>
                <w:szCs w:val="18"/>
                <w:highlight w:val="none"/>
                <w:vertAlign w:val="baseline"/>
                <w:lang w:val="en-US" w:eastAsia="zh-CN"/>
              </w:rPr>
              <w:t>7</w:t>
            </w:r>
            <w:r>
              <w:rPr>
                <w:rFonts w:hint="eastAsia" w:ascii="黑体" w:hAnsi="黑体" w:eastAsia="黑体" w:cs="黑体"/>
                <w:color w:val="auto"/>
                <w:sz w:val="18"/>
                <w:szCs w:val="18"/>
                <w:highlight w:val="none"/>
                <w:vertAlign w:val="baseline"/>
                <w:lang w:val="en-US" w:eastAsia="zh-CN"/>
              </w:rPr>
              <w:t>.2019年12月至今  获得山东省科技特派员</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黑体" w:hAnsi="黑体" w:eastAsia="黑体" w:cs="黑体"/>
                <w:color w:val="auto"/>
                <w:sz w:val="18"/>
                <w:szCs w:val="18"/>
                <w:highlight w:val="none"/>
                <w:vertAlign w:val="baseline"/>
                <w:lang w:val="en-US" w:eastAsia="zh-CN"/>
              </w:rPr>
            </w:pPr>
            <w:r>
              <w:rPr>
                <w:rFonts w:hint="default" w:ascii="黑体" w:hAnsi="黑体" w:eastAsia="黑体" w:cs="黑体"/>
                <w:color w:val="auto"/>
                <w:sz w:val="18"/>
                <w:szCs w:val="18"/>
                <w:highlight w:val="none"/>
                <w:vertAlign w:val="baseline"/>
                <w:lang w:val="en-US" w:eastAsia="zh-CN"/>
              </w:rPr>
              <w:t>8</w:t>
            </w:r>
            <w:r>
              <w:rPr>
                <w:rFonts w:hint="eastAsia" w:ascii="黑体" w:hAnsi="黑体" w:eastAsia="黑体" w:cs="黑体"/>
                <w:color w:val="auto"/>
                <w:sz w:val="18"/>
                <w:szCs w:val="18"/>
                <w:highlight w:val="none"/>
                <w:vertAlign w:val="baseline"/>
                <w:lang w:val="en-US" w:eastAsia="zh-CN"/>
              </w:rPr>
              <w:t>.2023年09月至今  获山东省科学技术厅2023年度山东省科技特派员创新创业共同体枣庄市马铃薯产业服务团团员</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黑体" w:hAnsi="黑体" w:eastAsia="黑体" w:cs="黑体"/>
                <w:color w:val="auto"/>
                <w:sz w:val="18"/>
                <w:szCs w:val="18"/>
                <w:highlight w:val="none"/>
                <w:vertAlign w:val="baseline"/>
                <w:lang w:val="en-US" w:eastAsia="zh-CN"/>
              </w:rPr>
            </w:pPr>
            <w:r>
              <w:rPr>
                <w:rFonts w:hint="default" w:ascii="黑体" w:hAnsi="黑体" w:eastAsia="黑体" w:cs="黑体"/>
                <w:color w:val="auto"/>
                <w:sz w:val="18"/>
                <w:szCs w:val="18"/>
                <w:highlight w:val="none"/>
                <w:vertAlign w:val="baseline"/>
                <w:lang w:val="en-US" w:eastAsia="zh-CN"/>
              </w:rPr>
              <w:t>9</w:t>
            </w:r>
            <w:r>
              <w:rPr>
                <w:rFonts w:hint="eastAsia" w:ascii="黑体" w:hAnsi="黑体" w:eastAsia="黑体" w:cs="黑体"/>
                <w:color w:val="auto"/>
                <w:sz w:val="18"/>
                <w:szCs w:val="18"/>
                <w:highlight w:val="none"/>
                <w:vertAlign w:val="baseline"/>
                <w:lang w:val="en-US" w:eastAsia="zh-CN"/>
              </w:rPr>
              <w:t>.2023年04月至今  获中共滕州市委党校滕州市委党校客座讲师</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黑体" w:hAnsi="黑体" w:eastAsia="黑体" w:cs="黑体"/>
                <w:color w:val="auto"/>
                <w:sz w:val="18"/>
                <w:szCs w:val="18"/>
                <w:highlight w:val="none"/>
                <w:vertAlign w:val="baseline"/>
                <w:lang w:val="en-US" w:eastAsia="zh-CN"/>
              </w:rPr>
            </w:pPr>
            <w:r>
              <w:rPr>
                <w:rFonts w:hint="default" w:ascii="黑体" w:hAnsi="黑体" w:eastAsia="黑体" w:cs="黑体"/>
                <w:color w:val="auto"/>
                <w:sz w:val="18"/>
                <w:szCs w:val="18"/>
                <w:highlight w:val="none"/>
                <w:vertAlign w:val="baseline"/>
                <w:lang w:val="en-US" w:eastAsia="zh-CN"/>
              </w:rPr>
              <w:t>10</w:t>
            </w:r>
            <w:r>
              <w:rPr>
                <w:rFonts w:hint="eastAsia" w:ascii="黑体" w:hAnsi="黑体" w:eastAsia="黑体" w:cs="黑体"/>
                <w:color w:val="auto"/>
                <w:sz w:val="18"/>
                <w:szCs w:val="18"/>
                <w:highlight w:val="none"/>
                <w:vertAlign w:val="baseline"/>
                <w:lang w:val="en-US" w:eastAsia="zh-CN"/>
              </w:rPr>
              <w:t>.2023年04月至今  获滕州市劳动模范协会滕州市劳模精神讲师团成员</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黑体" w:hAnsi="黑体" w:eastAsia="黑体" w:cs="黑体"/>
                <w:color w:val="auto"/>
                <w:sz w:val="18"/>
                <w:szCs w:val="18"/>
                <w:highlight w:val="none"/>
                <w:vertAlign w:val="baseline"/>
                <w:lang w:val="en-US" w:eastAsia="zh-CN"/>
              </w:rPr>
            </w:pPr>
            <w:r>
              <w:rPr>
                <w:rFonts w:hint="default" w:ascii="黑体" w:hAnsi="黑体" w:eastAsia="黑体" w:cs="黑体"/>
                <w:color w:val="auto"/>
                <w:sz w:val="18"/>
                <w:szCs w:val="18"/>
                <w:highlight w:val="none"/>
                <w:vertAlign w:val="baseline"/>
                <w:lang w:val="en-US" w:eastAsia="zh-CN"/>
              </w:rPr>
              <w:t>11</w:t>
            </w:r>
            <w:r>
              <w:rPr>
                <w:rFonts w:hint="eastAsia" w:ascii="黑体" w:hAnsi="黑体" w:eastAsia="黑体" w:cs="黑体"/>
                <w:color w:val="auto"/>
                <w:sz w:val="18"/>
                <w:szCs w:val="18"/>
                <w:highlight w:val="none"/>
                <w:vertAlign w:val="baseline"/>
                <w:lang w:val="en-US" w:eastAsia="zh-CN"/>
              </w:rPr>
              <w:t>.2021年10月至今  获山东省农业农村厅现代农业产业体系岗位薯类体系成员</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黑体" w:hAnsi="黑体" w:eastAsia="黑体" w:cs="黑体"/>
                <w:color w:val="auto"/>
                <w:sz w:val="18"/>
                <w:szCs w:val="18"/>
                <w:highlight w:val="none"/>
                <w:vertAlign w:val="baseline"/>
                <w:lang w:val="en-US" w:eastAsia="zh-CN"/>
              </w:rPr>
            </w:pPr>
            <w:r>
              <w:rPr>
                <w:rFonts w:hint="default" w:ascii="黑体" w:hAnsi="黑体" w:eastAsia="黑体" w:cs="黑体"/>
                <w:color w:val="auto"/>
                <w:sz w:val="18"/>
                <w:szCs w:val="18"/>
                <w:highlight w:val="none"/>
                <w:vertAlign w:val="baseline"/>
                <w:lang w:val="en-US" w:eastAsia="zh-CN"/>
              </w:rPr>
              <w:t>12</w:t>
            </w:r>
            <w:r>
              <w:rPr>
                <w:rFonts w:hint="eastAsia" w:ascii="黑体" w:hAnsi="黑体" w:eastAsia="黑体" w:cs="黑体"/>
                <w:color w:val="auto"/>
                <w:sz w:val="18"/>
                <w:szCs w:val="18"/>
                <w:highlight w:val="none"/>
                <w:vertAlign w:val="baseline"/>
                <w:lang w:val="en-US" w:eastAsia="zh-CN"/>
              </w:rPr>
              <w:t>.2021年至您  获国际马铃薯亚太中心亚太地区马铃薯晚疫协作网协调员</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黑体" w:hAnsi="黑体" w:eastAsia="黑体" w:cs="黑体"/>
                <w:color w:val="auto"/>
                <w:sz w:val="18"/>
                <w:szCs w:val="18"/>
                <w:highlight w:val="none"/>
                <w:vertAlign w:val="baseline"/>
                <w:lang w:val="en-US" w:eastAsia="zh-CN"/>
              </w:rPr>
            </w:pPr>
            <w:r>
              <w:rPr>
                <w:rFonts w:hint="default" w:ascii="黑体" w:hAnsi="黑体" w:eastAsia="黑体" w:cs="黑体"/>
                <w:color w:val="auto"/>
                <w:sz w:val="18"/>
                <w:szCs w:val="18"/>
                <w:highlight w:val="none"/>
                <w:vertAlign w:val="baseline"/>
                <w:lang w:val="en-US" w:eastAsia="zh-CN"/>
              </w:rPr>
              <w:t>13</w:t>
            </w:r>
            <w:r>
              <w:rPr>
                <w:rFonts w:hint="eastAsia" w:ascii="黑体" w:hAnsi="黑体" w:eastAsia="黑体" w:cs="黑体"/>
                <w:color w:val="auto"/>
                <w:sz w:val="18"/>
                <w:szCs w:val="18"/>
                <w:highlight w:val="none"/>
                <w:vertAlign w:val="baseline"/>
                <w:lang w:val="en-US" w:eastAsia="zh-CN"/>
              </w:rPr>
              <w:t>.2021年04月至今  获滕州市马铃薯产业发展研究院院长</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黑体" w:hAnsi="黑体" w:eastAsia="黑体" w:cs="黑体"/>
                <w:color w:val="auto"/>
                <w:sz w:val="18"/>
                <w:szCs w:val="18"/>
                <w:highlight w:val="none"/>
                <w:vertAlign w:val="baseline"/>
                <w:lang w:val="en-US" w:eastAsia="zh-CN"/>
              </w:rPr>
            </w:pPr>
            <w:r>
              <w:rPr>
                <w:rFonts w:hint="default" w:ascii="黑体" w:hAnsi="黑体" w:eastAsia="黑体" w:cs="黑体"/>
                <w:color w:val="auto"/>
                <w:sz w:val="18"/>
                <w:szCs w:val="18"/>
                <w:highlight w:val="none"/>
                <w:vertAlign w:val="baseline"/>
                <w:lang w:val="en-US" w:eastAsia="zh-CN"/>
              </w:rPr>
              <w:t>14</w:t>
            </w:r>
            <w:r>
              <w:rPr>
                <w:rFonts w:hint="eastAsia" w:ascii="黑体" w:hAnsi="黑体" w:eastAsia="黑体" w:cs="黑体"/>
                <w:color w:val="auto"/>
                <w:sz w:val="18"/>
                <w:szCs w:val="18"/>
                <w:highlight w:val="none"/>
                <w:vertAlign w:val="baseline"/>
                <w:lang w:val="en-US" w:eastAsia="zh-CN"/>
              </w:rPr>
              <w:t>.2019年至今  获枣庄市农业农村局枣庄市现代农业薯类产业技术体系创新团队岗位专家</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黑体" w:hAnsi="黑体" w:eastAsia="黑体" w:cs="黑体"/>
                <w:color w:val="auto"/>
                <w:sz w:val="18"/>
                <w:szCs w:val="18"/>
                <w:highlight w:val="none"/>
                <w:vertAlign w:val="baseline"/>
                <w:lang w:val="en-US" w:eastAsia="zh-CN"/>
              </w:rPr>
            </w:pPr>
            <w:r>
              <w:rPr>
                <w:rFonts w:hint="eastAsia" w:ascii="黑体" w:hAnsi="黑体" w:eastAsia="黑体" w:cs="黑体"/>
                <w:color w:val="auto"/>
                <w:sz w:val="18"/>
                <w:szCs w:val="18"/>
                <w:highlight w:val="none"/>
                <w:vertAlign w:val="baseline"/>
                <w:lang w:val="en-US" w:eastAsia="zh-CN"/>
              </w:rPr>
              <w:t>1</w:t>
            </w:r>
            <w:r>
              <w:rPr>
                <w:rFonts w:hint="default" w:ascii="黑体" w:hAnsi="黑体" w:eastAsia="黑体" w:cs="黑体"/>
                <w:color w:val="auto"/>
                <w:sz w:val="18"/>
                <w:szCs w:val="18"/>
                <w:highlight w:val="none"/>
                <w:vertAlign w:val="baseline"/>
                <w:lang w:val="en-US" w:eastAsia="zh-CN"/>
              </w:rPr>
              <w:t>5</w:t>
            </w:r>
            <w:r>
              <w:rPr>
                <w:rFonts w:hint="eastAsia" w:ascii="黑体" w:hAnsi="黑体" w:eastAsia="黑体" w:cs="黑体"/>
                <w:color w:val="auto"/>
                <w:sz w:val="18"/>
                <w:szCs w:val="18"/>
                <w:highlight w:val="none"/>
                <w:vertAlign w:val="baseline"/>
                <w:lang w:val="en-US" w:eastAsia="zh-CN"/>
              </w:rPr>
              <w:t>.2020年至今  获山东省农业厅高素质农民培训讲师</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黑体" w:hAnsi="黑体" w:eastAsia="黑体" w:cs="黑体"/>
                <w:color w:val="auto"/>
                <w:sz w:val="18"/>
                <w:szCs w:val="18"/>
                <w:highlight w:val="none"/>
                <w:vertAlign w:val="baseline"/>
                <w:lang w:val="en-US" w:eastAsia="zh-CN"/>
              </w:rPr>
            </w:pPr>
            <w:r>
              <w:rPr>
                <w:rFonts w:hint="eastAsia" w:ascii="黑体" w:hAnsi="黑体" w:eastAsia="黑体" w:cs="黑体"/>
                <w:color w:val="auto"/>
                <w:sz w:val="18"/>
                <w:szCs w:val="18"/>
                <w:highlight w:val="none"/>
                <w:vertAlign w:val="baseline"/>
                <w:lang w:val="en-US" w:eastAsia="zh-CN"/>
              </w:rPr>
              <w:t>1</w:t>
            </w:r>
            <w:r>
              <w:rPr>
                <w:rFonts w:hint="default" w:ascii="黑体" w:hAnsi="黑体" w:eastAsia="黑体" w:cs="黑体"/>
                <w:color w:val="auto"/>
                <w:sz w:val="18"/>
                <w:szCs w:val="18"/>
                <w:highlight w:val="none"/>
                <w:vertAlign w:val="baseline"/>
                <w:lang w:val="en-US" w:eastAsia="zh-CN"/>
              </w:rPr>
              <w:t>6</w:t>
            </w:r>
            <w:r>
              <w:rPr>
                <w:rFonts w:hint="eastAsia" w:ascii="黑体" w:hAnsi="黑体" w:eastAsia="黑体" w:cs="黑体"/>
                <w:color w:val="auto"/>
                <w:sz w:val="18"/>
                <w:szCs w:val="18"/>
                <w:highlight w:val="none"/>
                <w:vertAlign w:val="baseline"/>
                <w:lang w:val="en-US" w:eastAsia="zh-CN"/>
              </w:rPr>
              <w:t>.2018年至今  获枣庄市农业局枣庄市农业标准化专家委员会委员</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黑体" w:hAnsi="黑体" w:eastAsia="黑体" w:cs="黑体"/>
                <w:color w:val="auto"/>
                <w:sz w:val="18"/>
                <w:szCs w:val="18"/>
                <w:highlight w:val="none"/>
                <w:vertAlign w:val="baseline"/>
                <w:lang w:val="en-US" w:eastAsia="zh-CN"/>
              </w:rPr>
            </w:pPr>
            <w:r>
              <w:rPr>
                <w:rFonts w:hint="eastAsia" w:ascii="黑体" w:hAnsi="黑体" w:eastAsia="黑体" w:cs="黑体"/>
                <w:color w:val="auto"/>
                <w:sz w:val="18"/>
                <w:szCs w:val="18"/>
                <w:highlight w:val="none"/>
                <w:vertAlign w:val="baseline"/>
                <w:lang w:val="en-US" w:eastAsia="zh-CN"/>
              </w:rPr>
              <w:t>1</w:t>
            </w:r>
            <w:r>
              <w:rPr>
                <w:rFonts w:hint="default" w:ascii="黑体" w:hAnsi="黑体" w:eastAsia="黑体" w:cs="黑体"/>
                <w:color w:val="auto"/>
                <w:sz w:val="18"/>
                <w:szCs w:val="18"/>
                <w:highlight w:val="none"/>
                <w:vertAlign w:val="baseline"/>
                <w:lang w:val="en-US" w:eastAsia="zh-CN"/>
              </w:rPr>
              <w:t>7</w:t>
            </w:r>
            <w:r>
              <w:rPr>
                <w:rFonts w:hint="eastAsia" w:ascii="黑体" w:hAnsi="黑体" w:eastAsia="黑体" w:cs="黑体"/>
                <w:color w:val="auto"/>
                <w:sz w:val="18"/>
                <w:szCs w:val="18"/>
                <w:highlight w:val="none"/>
                <w:vertAlign w:val="baseline"/>
                <w:lang w:val="en-US" w:eastAsia="zh-CN"/>
              </w:rPr>
              <w:t>.2017年06月至今  获马海艳劳模人才创新工作室主任</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黑体" w:hAnsi="黑体" w:eastAsia="黑体" w:cs="黑体"/>
                <w:color w:val="auto"/>
                <w:sz w:val="18"/>
                <w:szCs w:val="18"/>
                <w:highlight w:val="none"/>
                <w:vertAlign w:val="baseline"/>
                <w:lang w:val="en-US" w:eastAsia="zh-CN"/>
              </w:rPr>
            </w:pPr>
            <w:r>
              <w:rPr>
                <w:rFonts w:hint="eastAsia" w:ascii="黑体" w:hAnsi="黑体" w:eastAsia="黑体" w:cs="黑体"/>
                <w:color w:val="auto"/>
                <w:sz w:val="18"/>
                <w:szCs w:val="18"/>
                <w:highlight w:val="none"/>
                <w:vertAlign w:val="baseline"/>
                <w:lang w:val="en-US" w:eastAsia="zh-CN"/>
              </w:rPr>
              <w:t>1</w:t>
            </w:r>
            <w:r>
              <w:rPr>
                <w:rFonts w:hint="default" w:ascii="黑体" w:hAnsi="黑体" w:eastAsia="黑体" w:cs="黑体"/>
                <w:color w:val="auto"/>
                <w:sz w:val="18"/>
                <w:szCs w:val="18"/>
                <w:highlight w:val="none"/>
                <w:vertAlign w:val="baseline"/>
                <w:lang w:val="en-US" w:eastAsia="zh-CN"/>
              </w:rPr>
              <w:t>8</w:t>
            </w:r>
            <w:r>
              <w:rPr>
                <w:rFonts w:hint="eastAsia" w:ascii="黑体" w:hAnsi="黑体" w:eastAsia="黑体" w:cs="黑体"/>
                <w:color w:val="auto"/>
                <w:sz w:val="18"/>
                <w:szCs w:val="18"/>
                <w:highlight w:val="none"/>
                <w:vertAlign w:val="baseline"/>
                <w:lang w:val="en-US" w:eastAsia="zh-CN"/>
              </w:rPr>
              <w:t>.2022年02月至今  获枣庄市第十二次党代表</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黑体" w:hAnsi="黑体" w:eastAsia="黑体" w:cs="黑体"/>
                <w:color w:val="auto"/>
                <w:sz w:val="18"/>
                <w:szCs w:val="18"/>
                <w:highlight w:val="none"/>
                <w:vertAlign w:val="baseline"/>
                <w:lang w:val="en-US" w:eastAsia="zh-CN"/>
              </w:rPr>
            </w:pPr>
            <w:r>
              <w:rPr>
                <w:rFonts w:hint="eastAsia" w:ascii="黑体" w:hAnsi="黑体" w:eastAsia="黑体" w:cs="黑体"/>
                <w:color w:val="auto"/>
                <w:sz w:val="18"/>
                <w:szCs w:val="18"/>
                <w:highlight w:val="none"/>
                <w:vertAlign w:val="baseline"/>
                <w:lang w:val="en-US" w:eastAsia="zh-CN"/>
              </w:rPr>
              <w:t>1</w:t>
            </w:r>
            <w:r>
              <w:rPr>
                <w:rFonts w:hint="default" w:ascii="黑体" w:hAnsi="黑体" w:eastAsia="黑体" w:cs="黑体"/>
                <w:color w:val="auto"/>
                <w:sz w:val="18"/>
                <w:szCs w:val="18"/>
                <w:highlight w:val="none"/>
                <w:vertAlign w:val="baseline"/>
                <w:lang w:val="en-US" w:eastAsia="zh-CN"/>
              </w:rPr>
              <w:t>9</w:t>
            </w:r>
            <w:r>
              <w:rPr>
                <w:rFonts w:hint="eastAsia" w:ascii="黑体" w:hAnsi="黑体" w:eastAsia="黑体" w:cs="黑体"/>
                <w:color w:val="auto"/>
                <w:sz w:val="18"/>
                <w:szCs w:val="18"/>
                <w:highlight w:val="none"/>
                <w:vertAlign w:val="baseline"/>
                <w:lang w:val="en-US" w:eastAsia="zh-CN"/>
              </w:rPr>
              <w:t>.2024年     “头雁”项目学员地方帮扶指导老师</w:t>
            </w:r>
          </w:p>
          <w:p>
            <w:pPr>
              <w:pStyle w:val="2"/>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黑体" w:hAnsi="黑体" w:eastAsia="黑体" w:cs="黑体"/>
                <w:color w:val="auto"/>
                <w:sz w:val="18"/>
                <w:szCs w:val="18"/>
                <w:highlight w:val="none"/>
                <w:vertAlign w:val="baseline"/>
                <w:lang w:val="en-US" w:eastAsia="zh-CN"/>
              </w:rPr>
            </w:pPr>
            <w:r>
              <w:rPr>
                <w:rFonts w:hint="default" w:ascii="黑体" w:hAnsi="黑体" w:eastAsia="黑体" w:cs="黑体"/>
                <w:color w:val="auto"/>
                <w:sz w:val="18"/>
                <w:szCs w:val="18"/>
                <w:highlight w:val="none"/>
                <w:vertAlign w:val="baseline"/>
                <w:lang w:val="en-US" w:eastAsia="zh-CN"/>
              </w:rPr>
              <w:t>20</w:t>
            </w:r>
            <w:r>
              <w:rPr>
                <w:rFonts w:hint="eastAsia" w:ascii="黑体" w:hAnsi="黑体" w:eastAsia="黑体" w:cs="黑体"/>
                <w:color w:val="auto"/>
                <w:sz w:val="18"/>
                <w:szCs w:val="18"/>
                <w:highlight w:val="none"/>
                <w:vertAlign w:val="baseline"/>
                <w:lang w:val="en-US" w:eastAsia="zh-CN"/>
              </w:rPr>
              <w:t>.2017年至今 国家马铃薯产业技术体系滕州示范县负责人</w:t>
            </w:r>
          </w:p>
          <w:p>
            <w:pPr>
              <w:pStyle w:val="2"/>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黑体" w:hAnsi="黑体" w:eastAsia="黑体" w:cs="黑体"/>
                <w:color w:val="auto"/>
                <w:sz w:val="18"/>
                <w:szCs w:val="18"/>
                <w:highlight w:val="none"/>
                <w:vertAlign w:val="baseline"/>
                <w:lang w:val="en-US" w:eastAsia="zh-CN"/>
              </w:rPr>
            </w:pPr>
            <w:r>
              <w:rPr>
                <w:rFonts w:hint="default" w:ascii="黑体" w:hAnsi="黑体" w:eastAsia="黑体" w:cs="黑体"/>
                <w:color w:val="auto"/>
                <w:sz w:val="18"/>
                <w:szCs w:val="18"/>
                <w:highlight w:val="none"/>
                <w:vertAlign w:val="baseline"/>
                <w:lang w:val="en-US" w:eastAsia="zh-CN"/>
              </w:rPr>
              <w:t>21</w:t>
            </w:r>
            <w:r>
              <w:rPr>
                <w:rFonts w:hint="eastAsia" w:ascii="黑体" w:hAnsi="黑体" w:eastAsia="黑体" w:cs="黑体"/>
                <w:color w:val="auto"/>
                <w:sz w:val="18"/>
                <w:szCs w:val="18"/>
                <w:highlight w:val="none"/>
                <w:vertAlign w:val="baseline"/>
                <w:lang w:val="en-US" w:eastAsia="zh-CN"/>
              </w:rPr>
              <w:t>.2024年12月至今 滕州市老科技工作者协会会员</w:t>
            </w:r>
          </w:p>
          <w:p>
            <w:pPr>
              <w:pStyle w:val="2"/>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黑体" w:hAnsi="黑体" w:eastAsia="黑体" w:cs="黑体"/>
                <w:color w:val="auto"/>
                <w:sz w:val="18"/>
                <w:szCs w:val="18"/>
                <w:highlight w:val="none"/>
                <w:vertAlign w:val="baseline"/>
                <w:lang w:val="en-US" w:eastAsia="zh-CN"/>
              </w:rPr>
            </w:pPr>
            <w:r>
              <w:rPr>
                <w:rFonts w:hint="default" w:ascii="黑体" w:hAnsi="黑体" w:eastAsia="黑体" w:cs="黑体"/>
                <w:color w:val="auto"/>
                <w:sz w:val="18"/>
                <w:szCs w:val="18"/>
                <w:highlight w:val="none"/>
                <w:vertAlign w:val="baseline"/>
                <w:lang w:val="en-US" w:eastAsia="zh-CN"/>
              </w:rPr>
              <w:t>22</w:t>
            </w:r>
            <w:r>
              <w:rPr>
                <w:rFonts w:hint="eastAsia" w:ascii="黑体" w:hAnsi="黑体" w:eastAsia="黑体" w:cs="黑体"/>
                <w:color w:val="auto"/>
                <w:sz w:val="18"/>
                <w:szCs w:val="18"/>
                <w:highlight w:val="none"/>
                <w:vertAlign w:val="baseline"/>
                <w:lang w:val="en-US" w:eastAsia="zh-CN"/>
              </w:rPr>
              <w:t>.2024年12月至今 枣庄市老科学技术工作者协会会员</w:t>
            </w:r>
          </w:p>
          <w:p>
            <w:pPr>
              <w:pStyle w:val="2"/>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黑体" w:hAnsi="黑体" w:eastAsia="黑体" w:cs="黑体"/>
                <w:color w:val="auto"/>
                <w:sz w:val="18"/>
                <w:szCs w:val="18"/>
                <w:highlight w:val="none"/>
                <w:vertAlign w:val="baseline"/>
                <w:lang w:val="en-US" w:eastAsia="zh-CN"/>
              </w:rPr>
            </w:pPr>
            <w:r>
              <w:rPr>
                <w:rFonts w:hint="default" w:ascii="黑体" w:hAnsi="黑体" w:eastAsia="黑体" w:cs="黑体"/>
                <w:color w:val="auto"/>
                <w:sz w:val="18"/>
                <w:szCs w:val="18"/>
                <w:highlight w:val="none"/>
                <w:vertAlign w:val="baseline"/>
                <w:lang w:val="en-US" w:eastAsia="zh-CN"/>
              </w:rPr>
              <w:t>23</w:t>
            </w:r>
            <w:r>
              <w:rPr>
                <w:rFonts w:hint="eastAsia" w:ascii="黑体" w:hAnsi="黑体" w:eastAsia="黑体" w:cs="黑体"/>
                <w:color w:val="auto"/>
                <w:sz w:val="18"/>
                <w:szCs w:val="18"/>
                <w:highlight w:val="none"/>
                <w:vertAlign w:val="baseline"/>
                <w:lang w:val="en-US" w:eastAsia="zh-CN"/>
              </w:rPr>
              <w:t>.2024年5月至今 枣庄市老科技专家智库专家</w:t>
            </w:r>
          </w:p>
          <w:p>
            <w:pPr>
              <w:pStyle w:val="2"/>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lang w:val="en-US" w:eastAsia="zh-CN"/>
              </w:rPr>
            </w:pPr>
            <w:r>
              <w:rPr>
                <w:rFonts w:hint="default" w:ascii="黑体" w:hAnsi="黑体" w:eastAsia="黑体" w:cs="黑体"/>
                <w:color w:val="auto"/>
                <w:sz w:val="18"/>
                <w:szCs w:val="18"/>
                <w:highlight w:val="none"/>
                <w:vertAlign w:val="baseline"/>
                <w:lang w:val="en-US" w:eastAsia="zh-CN"/>
              </w:rPr>
              <w:t>24.</w:t>
            </w:r>
            <w:r>
              <w:rPr>
                <w:rFonts w:hint="eastAsia" w:ascii="黑体" w:hAnsi="黑体" w:eastAsia="黑体" w:cs="黑体"/>
                <w:color w:val="auto"/>
                <w:sz w:val="18"/>
                <w:szCs w:val="18"/>
                <w:highlight w:val="none"/>
                <w:vertAlign w:val="baseline"/>
                <w:lang w:val="en-US" w:eastAsia="zh-CN"/>
              </w:rPr>
              <w:t>2022年8月至今 中国农技协乡土人才</w:t>
            </w:r>
          </w:p>
        </w:tc>
      </w:tr>
    </w:tbl>
    <w:p>
      <w:pPr>
        <w:rPr>
          <w:rFonts w:hint="default" w:ascii="Times New Roman" w:hAnsi="Times New Roman" w:eastAsia="楷体_GB2312" w:cs="Times New Roman"/>
          <w:sz w:val="24"/>
          <w:szCs w:val="24"/>
          <w:highlight w:val="none"/>
          <w:lang w:val="en-US" w:eastAsia="zh-CN"/>
        </w:rPr>
      </w:pPr>
      <w:r>
        <w:rPr>
          <w:rFonts w:hint="default" w:ascii="Times New Roman" w:hAnsi="Times New Roman" w:eastAsia="楷体_GB2312" w:cs="Times New Roman"/>
          <w:sz w:val="24"/>
          <w:szCs w:val="24"/>
          <w:highlight w:val="none"/>
          <w:lang w:eastAsia="zh-CN"/>
        </w:rPr>
        <w:t>说明：</w:t>
      </w:r>
      <w:r>
        <w:rPr>
          <w:rFonts w:hint="eastAsia" w:ascii="Times New Roman" w:hAnsi="Times New Roman" w:eastAsia="楷体_GB2312" w:cs="Times New Roman"/>
          <w:sz w:val="24"/>
          <w:szCs w:val="24"/>
          <w:highlight w:val="none"/>
          <w:lang w:val="en-US" w:eastAsia="zh-CN"/>
        </w:rPr>
        <w:t>1.</w:t>
      </w:r>
      <w:r>
        <w:rPr>
          <w:rFonts w:hint="default" w:ascii="Times New Roman" w:hAnsi="Times New Roman" w:eastAsia="楷体_GB2312" w:cs="Times New Roman"/>
          <w:sz w:val="24"/>
          <w:szCs w:val="24"/>
          <w:highlight w:val="none"/>
          <w:lang w:eastAsia="zh-CN"/>
        </w:rPr>
        <w:t>上述表格中，</w:t>
      </w:r>
      <w:r>
        <w:rPr>
          <w:rFonts w:hint="default" w:ascii="Times New Roman" w:hAnsi="Times New Roman" w:eastAsia="楷体_GB2312" w:cs="Times New Roman"/>
          <w:sz w:val="24"/>
          <w:szCs w:val="24"/>
          <w:highlight w:val="none"/>
          <w:lang w:val="en-US" w:eastAsia="zh-CN"/>
        </w:rPr>
        <w:t>无业绩的请填写“无”。</w:t>
      </w:r>
    </w:p>
    <w:p>
      <w:r>
        <w:rPr>
          <w:rFonts w:hint="eastAsia" w:ascii="Times New Roman" w:hAnsi="Times New Roman" w:eastAsia="楷体_GB2312" w:cs="Times New Roman"/>
          <w:sz w:val="24"/>
          <w:szCs w:val="24"/>
          <w:highlight w:val="none"/>
          <w:lang w:val="en-US" w:eastAsia="zh-CN"/>
        </w:rPr>
        <w:t xml:space="preserve">      2.科技型企业主要包括瞪羚企业、独角兽企业、创新型中小企业、科技型中小企业、专精特新中小企业、专精特新“小巨人”企业、高新技术企业、制造业单项冠军企业、隐形冠军企业等。</w:t>
      </w:r>
    </w:p>
    <w:sectPr>
      <w:footerReference r:id="rId3" w:type="default"/>
      <w:pgSz w:w="23811" w:h="16838" w:orient="landscape"/>
      <w:pgMar w:top="1417" w:right="1701" w:bottom="1417" w:left="1701" w:header="1418" w:footer="170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文鼎CS楷體"/>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文鼎CS楷體"/>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文鼎CS楷體">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F6DE6"/>
    <w:multiLevelType w:val="singleLevel"/>
    <w:tmpl w:val="CFFF6DE6"/>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5658C1"/>
    <w:rsid w:val="01702CDC"/>
    <w:rsid w:val="02A75D67"/>
    <w:rsid w:val="04D178F5"/>
    <w:rsid w:val="0FB3F43D"/>
    <w:rsid w:val="175658C1"/>
    <w:rsid w:val="1B53107A"/>
    <w:rsid w:val="284341BF"/>
    <w:rsid w:val="2ADFE8CB"/>
    <w:rsid w:val="4BFD6BC8"/>
    <w:rsid w:val="50EB5524"/>
    <w:rsid w:val="649A3875"/>
    <w:rsid w:val="678029AB"/>
    <w:rsid w:val="6FFBB8BB"/>
    <w:rsid w:val="73FBDE98"/>
    <w:rsid w:val="76F8F647"/>
    <w:rsid w:val="935B1AD4"/>
    <w:rsid w:val="A7BF8D36"/>
    <w:rsid w:val="BBFF746D"/>
    <w:rsid w:val="DFF7D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99"/>
    <w:pPr>
      <w:tabs>
        <w:tab w:val="center" w:pos="4153"/>
        <w:tab w:val="right" w:pos="8306"/>
      </w:tabs>
      <w:snapToGrid w:val="0"/>
      <w:jc w:val="left"/>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3457</Words>
  <Characters>4011</Characters>
  <Lines>0</Lines>
  <Paragraphs>0</Paragraphs>
  <TotalTime>91</TotalTime>
  <ScaleCrop>false</ScaleCrop>
  <LinksUpToDate>false</LinksUpToDate>
  <CharactersWithSpaces>4212</CharactersWithSpaces>
  <Application>WPS Office_11.8.2.12333_F1E327BC-269C-435d-A152-05C5408002CA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2025-05-31T19:13:00Z</dcterms:created>
  <dc:creator>小豆芽1422970600</dc:creator>
  <cp:lastModifiedBy>User</cp:lastModifiedBy>
  <dcterms:modified xsi:type="dcterms:W3CDTF">2025-06-06T14:29:31Z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2052-11.8.2.12333</vt:lpwstr>
  </property>
  <property fmtid="{D5CDD505-2E9C-101B-9397-08002B2CF9AE}" pid="3" name="ICV">
    <vt:lpwstr>1398FF2F44CA4A198A8DB3699B37082F_11</vt:lpwstr>
  </property>
  <property fmtid="{D5CDD505-2E9C-101B-9397-08002B2CF9AE}" pid="4" name="KSOTemplateDocerSaveRecord">
    <vt:lpwstr>eyJoZGlkIjoiYjZlNDZmYmM0NjQxY2MzYjgyZGY5Mjk0MjM3M2ZmM2QiLCJ1c2VySWQiOiIyOTU2MzAyMiJ9</vt:lpwstr>
  </property>
</Properties>
</file>