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20" w:leftChars="200" w:right="420" w:rightChars="200"/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关于印发《</w:t>
      </w:r>
      <w:r>
        <w:rPr>
          <w:rFonts w:hint="eastAsia"/>
          <w:b/>
          <w:bCs/>
          <w:sz w:val="44"/>
          <w:szCs w:val="44"/>
          <w:lang w:eastAsia="zh-CN"/>
        </w:rPr>
        <w:t>枣庄市民政局福利彩票公益金使用管理办法</w:t>
      </w:r>
      <w:r>
        <w:rPr>
          <w:rFonts w:hint="eastAsia"/>
          <w:b/>
          <w:bCs/>
          <w:sz w:val="44"/>
          <w:szCs w:val="44"/>
        </w:rPr>
        <w:t>》的通知</w:t>
      </w:r>
    </w:p>
    <w:p>
      <w:pPr>
        <w:spacing w:line="600" w:lineRule="exact"/>
        <w:ind w:left="420" w:leftChars="200" w:right="420" w:rightChars="200"/>
        <w:rPr>
          <w:rFonts w:hint="eastAsia"/>
          <w:szCs w:val="24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各区（市）民政局，枣庄高新区社会事业局，局机关各科（室、局），局属各单位：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现将《枣庄市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民政局福利彩票公益金使用管理办法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》印发给你们，请认真贯彻执行。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枣庄市民政局</w:t>
      </w:r>
    </w:p>
    <w:p>
      <w:pPr>
        <w:spacing w:line="600" w:lineRule="exact"/>
        <w:ind w:firstLine="5760" w:firstLineChars="1800"/>
        <w:rPr>
          <w:rFonts w:hint="eastAsia" w:ascii="方正小标宋简体" w:hAnsi="华文仿宋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仿宋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="方正小标宋简体" w:hAnsi="华文仿宋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华文仿宋" w:eastAsia="方正小标宋简体" w:cs="方正小标宋简体"/>
          <w:color w:val="000000"/>
          <w:kern w:val="0"/>
          <w:sz w:val="44"/>
          <w:szCs w:val="44"/>
          <w:lang w:eastAsia="zh-CN"/>
        </w:rPr>
        <w:t>枣庄市民政局</w:t>
      </w:r>
    </w:p>
    <w:p>
      <w:pPr>
        <w:widowControl/>
        <w:spacing w:line="600" w:lineRule="exact"/>
        <w:jc w:val="center"/>
        <w:textAlignment w:val="center"/>
        <w:rPr>
          <w:rFonts w:ascii="华文仿宋" w:hAnsi="华文仿宋" w:eastAsia="华文仿宋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方正小标宋简体"/>
          <w:color w:val="000000"/>
          <w:kern w:val="0"/>
          <w:sz w:val="44"/>
          <w:szCs w:val="44"/>
        </w:rPr>
        <w:t>福利彩票公益金使用管理办法</w:t>
      </w:r>
    </w:p>
    <w:p>
      <w:pPr>
        <w:spacing w:line="600" w:lineRule="exact"/>
        <w:jc w:val="center"/>
        <w:rPr>
          <w:rFonts w:ascii="????_GBK" w:hAnsi="????_GBK" w:cs="????_GBK"/>
          <w:color w:val="000000"/>
          <w:kern w:val="0"/>
          <w:sz w:val="36"/>
          <w:szCs w:val="36"/>
        </w:rPr>
      </w:pPr>
      <w:r>
        <w:rPr>
          <w:rFonts w:ascii="????_GBK" w:hAnsi="????_GBK" w:cs="????_GBK"/>
          <w:color w:val="000000"/>
          <w:kern w:val="0"/>
          <w:sz w:val="36"/>
          <w:szCs w:val="36"/>
        </w:rPr>
        <w:t xml:space="preserve"> </w:t>
      </w:r>
    </w:p>
    <w:p>
      <w:pPr>
        <w:spacing w:line="600" w:lineRule="exact"/>
        <w:ind w:firstLine="720"/>
        <w:jc w:val="center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第一章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总则</w:t>
      </w:r>
    </w:p>
    <w:p>
      <w:pPr>
        <w:spacing w:line="600" w:lineRule="exact"/>
        <w:ind w:firstLine="720"/>
        <w:rPr>
          <w:rFonts w:ascii="????_GBK" w:hAnsi="????_GBK" w:cs="????_GBK"/>
          <w:b/>
          <w:bCs/>
          <w:color w:val="000000"/>
          <w:kern w:val="0"/>
          <w:sz w:val="30"/>
          <w:szCs w:val="30"/>
        </w:rPr>
      </w:pP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  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为规范和加强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市民政局</w:t>
      </w:r>
      <w:r>
        <w:rPr>
          <w:rStyle w:val="16"/>
          <w:rFonts w:hint="eastAsia" w:hAnsi="????_GBK"/>
          <w:sz w:val="32"/>
          <w:szCs w:val="32"/>
        </w:rPr>
        <w:t>福利彩票公益金使用管理，明确管理责任，规范管理程序，提高使用效益，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根据《彩票管理条例》《彩票公益金管理办法</w:t>
      </w:r>
      <w:r>
        <w:rPr>
          <w:rStyle w:val="16"/>
          <w:rFonts w:hint="eastAsia" w:hAnsi="????_GBK"/>
          <w:sz w:val="32"/>
          <w:szCs w:val="32"/>
        </w:rPr>
        <w:t>》《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枣庄市民政</w:t>
      </w:r>
      <w:r>
        <w:rPr>
          <w:rStyle w:val="16"/>
          <w:rFonts w:hint="eastAsia" w:hAnsi="????_GBK"/>
          <w:sz w:val="32"/>
          <w:szCs w:val="32"/>
        </w:rPr>
        <w:t>专项资金管理暂行办法》等规定，结合我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</w:t>
      </w:r>
      <w:r>
        <w:rPr>
          <w:rStyle w:val="16"/>
          <w:rFonts w:hint="eastAsia" w:hAnsi="????_GBK"/>
          <w:sz w:val="32"/>
          <w:szCs w:val="32"/>
        </w:rPr>
        <w:t>实际，制定本办法。</w:t>
      </w:r>
    </w:p>
    <w:p>
      <w:pPr>
        <w:spacing w:line="600" w:lineRule="exact"/>
        <w:ind w:firstLine="640" w:firstLineChars="200"/>
        <w:rPr>
          <w:rStyle w:val="16"/>
          <w:rFonts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第二条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本办法所称福利彩票公益金（以下简称</w:t>
      </w:r>
      <w:r>
        <w:rPr>
          <w:rStyle w:val="16"/>
          <w:rFonts w:hAnsi="????_GBK" w:cs="????_GBK"/>
          <w:sz w:val="32"/>
          <w:szCs w:val="32"/>
        </w:rPr>
        <w:t>“</w:t>
      </w:r>
      <w:r>
        <w:rPr>
          <w:rStyle w:val="16"/>
          <w:rFonts w:hint="eastAsia" w:hAnsi="????_GBK"/>
          <w:sz w:val="32"/>
          <w:szCs w:val="32"/>
        </w:rPr>
        <w:t>福彩公益金</w:t>
      </w:r>
      <w:r>
        <w:rPr>
          <w:rStyle w:val="16"/>
          <w:rFonts w:ascii="????_GBK" w:hAnsi="????_GBK" w:cs="????_GBK"/>
          <w:sz w:val="32"/>
          <w:szCs w:val="32"/>
        </w:rPr>
        <w:t>”</w:t>
      </w:r>
      <w:r>
        <w:rPr>
          <w:rStyle w:val="16"/>
          <w:rFonts w:hint="eastAsia" w:hAnsi="????_GBK"/>
          <w:sz w:val="32"/>
          <w:szCs w:val="32"/>
        </w:rPr>
        <w:t>）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，是指根据我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福彩公益金分配政策留归民政部门使用的，</w:t>
      </w:r>
      <w:r>
        <w:rPr>
          <w:rStyle w:val="16"/>
          <w:rFonts w:hint="eastAsia" w:hAnsi="????_GBK"/>
          <w:sz w:val="32"/>
          <w:szCs w:val="32"/>
        </w:rPr>
        <w:t>以及中央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、省</w:t>
      </w:r>
      <w:r>
        <w:rPr>
          <w:rStyle w:val="16"/>
          <w:rFonts w:hint="eastAsia" w:hAnsi="????_GBK"/>
          <w:sz w:val="32"/>
          <w:szCs w:val="32"/>
        </w:rPr>
        <w:t>下达我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</w:t>
      </w:r>
      <w:r>
        <w:rPr>
          <w:rStyle w:val="16"/>
          <w:rFonts w:hint="eastAsia" w:hAnsi="????_GBK"/>
          <w:sz w:val="32"/>
          <w:szCs w:val="32"/>
        </w:rPr>
        <w:t>的，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专项用于民政事业发展的福彩公益金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第三条</w:t>
      </w:r>
      <w:r>
        <w:rPr>
          <w:rStyle w:val="16"/>
          <w:rFonts w:hAnsi="????_GBK"/>
          <w:sz w:val="32"/>
          <w:szCs w:val="32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福彩公益金使用应当遵循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“扶老、助残、救孤、济困”的福利彩票发行宗旨，</w:t>
      </w:r>
      <w:r>
        <w:rPr>
          <w:rStyle w:val="16"/>
          <w:rFonts w:hint="eastAsia" w:hAnsi="????_GBK"/>
          <w:sz w:val="32"/>
          <w:szCs w:val="32"/>
        </w:rPr>
        <w:t>主要用于资助为老年人、残疾人、孤残儿童和济困帮扶项目，以及其他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符合福利彩票发行宗旨的民政领域培训、课题研究、标准化建设、第三方评估等能力建设项目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第四条</w:t>
      </w:r>
      <w:r>
        <w:rPr>
          <w:rStyle w:val="16"/>
          <w:rFonts w:hAnsi="????_GBK"/>
          <w:sz w:val="32"/>
          <w:szCs w:val="32"/>
        </w:rPr>
        <w:t xml:space="preserve">  </w:t>
      </w:r>
      <w:r>
        <w:rPr>
          <w:rStyle w:val="17"/>
          <w:rFonts w:hint="eastAsia" w:eastAsia="仿宋_GB2312" w:cs="仿宋_GB2312"/>
          <w:color w:val="333333"/>
          <w:sz w:val="32"/>
          <w:szCs w:val="32"/>
        </w:rPr>
        <w:t>福彩</w:t>
      </w:r>
      <w:r>
        <w:rPr>
          <w:rFonts w:hint="eastAsia" w:ascii="仿宋_GB2312" w:eastAsia="仿宋_GB2312" w:cs="仿宋_GB2312"/>
          <w:color w:val="333333"/>
          <w:sz w:val="32"/>
          <w:szCs w:val="32"/>
        </w:rPr>
        <w:t>公益金纳入政府性基金预算管理，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与一般公共预算资金统筹衔接</w:t>
      </w:r>
      <w:r>
        <w:rPr>
          <w:rStyle w:val="17"/>
          <w:rFonts w:hint="eastAsia" w:eastAsia="仿宋_GB2312" w:cs="仿宋_GB2312"/>
          <w:color w:val="000000"/>
          <w:sz w:val="32"/>
          <w:szCs w:val="32"/>
        </w:rPr>
        <w:t>，形成资金使用合力</w:t>
      </w:r>
      <w:r>
        <w:rPr>
          <w:rStyle w:val="17"/>
          <w:rFonts w:hint="eastAsia" w:eastAsia="仿宋_GB2312" w:cs="仿宋_GB2312"/>
          <w:color w:val="333333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</w:rPr>
        <w:t>推动全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 w:cs="仿宋_GB2312"/>
          <w:sz w:val="32"/>
          <w:szCs w:val="32"/>
        </w:rPr>
        <w:t>民政事业持续健康发展。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第五条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福彩公益金使用管理</w:t>
      </w:r>
      <w:r>
        <w:rPr>
          <w:rStyle w:val="15"/>
          <w:rFonts w:hint="eastAsia" w:ascii="仿宋_GB2312" w:hAnsi="????_GBK" w:eastAsia="仿宋_GB2312" w:cs="仿宋_GB2312"/>
          <w:sz w:val="32"/>
          <w:szCs w:val="32"/>
        </w:rPr>
        <w:t>要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坚持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统筹规划、</w:t>
      </w:r>
      <w:r>
        <w:rPr>
          <w:rFonts w:hint="eastAsia" w:ascii="仿宋_GB2312" w:eastAsia="仿宋_GB2312" w:cs="仿宋_GB2312"/>
          <w:sz w:val="32"/>
          <w:szCs w:val="32"/>
        </w:rPr>
        <w:t>突出重点，权责明确、分级负责，依法管理、规范使用，公开透明、监督问效的原则</w:t>
      </w:r>
      <w:r>
        <w:rPr>
          <w:rStyle w:val="15"/>
          <w:rFonts w:hint="eastAsia" w:ascii="仿宋_GB2312" w:hAnsi="????_GBK" w:eastAsia="仿宋_GB2312" w:cs="仿宋_GB2312"/>
          <w:sz w:val="32"/>
          <w:szCs w:val="32"/>
        </w:rPr>
        <w:t>，</w:t>
      </w:r>
      <w:r>
        <w:rPr>
          <w:rStyle w:val="16"/>
          <w:rFonts w:hint="eastAsia" w:hAnsi="????_GBK"/>
          <w:sz w:val="32"/>
          <w:szCs w:val="32"/>
        </w:rPr>
        <w:t>按照</w:t>
      </w:r>
      <w:r>
        <w:rPr>
          <w:rStyle w:val="16"/>
          <w:rFonts w:ascii="????_GBK" w:hAnsi="????_GBK" w:cs="????_GBK"/>
          <w:sz w:val="32"/>
          <w:szCs w:val="32"/>
        </w:rPr>
        <w:t>“</w:t>
      </w:r>
      <w:r>
        <w:rPr>
          <w:rStyle w:val="16"/>
          <w:rFonts w:hint="eastAsia" w:hAnsi="????_GBK"/>
          <w:sz w:val="32"/>
          <w:szCs w:val="32"/>
        </w:rPr>
        <w:t>谁使用、谁管理、谁负责</w:t>
      </w:r>
      <w:r>
        <w:rPr>
          <w:rStyle w:val="16"/>
          <w:rFonts w:ascii="????_GBK" w:hAnsi="????_GBK" w:cs="????_GBK"/>
          <w:sz w:val="32"/>
          <w:szCs w:val="32"/>
        </w:rPr>
        <w:t>”</w:t>
      </w:r>
      <w:r>
        <w:rPr>
          <w:rStyle w:val="16"/>
          <w:rFonts w:hint="eastAsia" w:hAnsi="????_GBK"/>
          <w:sz w:val="32"/>
          <w:szCs w:val="32"/>
        </w:rPr>
        <w:t>的要求实行归口管理。</w:t>
      </w:r>
    </w:p>
    <w:p>
      <w:pPr>
        <w:spacing w:line="600" w:lineRule="exact"/>
        <w:ind w:firstLine="0" w:firstLineChars="0"/>
        <w:rPr>
          <w:rStyle w:val="16"/>
          <w:rFonts w:hAnsi="????_GBK" w:cs="Times New Roman"/>
          <w:sz w:val="30"/>
          <w:szCs w:val="30"/>
        </w:rPr>
      </w:pPr>
    </w:p>
    <w:p>
      <w:pPr>
        <w:spacing w:line="600" w:lineRule="exact"/>
        <w:ind w:firstLine="720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第二章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机构与职责</w:t>
      </w:r>
    </w:p>
    <w:p>
      <w:pPr>
        <w:spacing w:line="600" w:lineRule="exact"/>
        <w:ind w:firstLine="720"/>
        <w:rPr>
          <w:rFonts w:ascii="????_GBK" w:hAnsi="????_GBK" w:cs="????_GBK"/>
          <w:b/>
          <w:bCs/>
          <w:color w:val="000000"/>
          <w:kern w:val="0"/>
          <w:sz w:val="30"/>
          <w:szCs w:val="30"/>
        </w:rPr>
      </w:pP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第六条</w:t>
      </w: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财务核算中心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负责福彩公益金管理的牵头组织和协调工作，主要职责：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（一）制定福彩公益金管理制度；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（二）牵头组织福彩公益金预算的编制和执行；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（三）配合制定具体福彩公益金资助项目实施方案；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（四）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初步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审核福彩公益金分配方案，将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内按规定程序确定的资金分配方案报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市财政局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，并及时下达；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（五）配合开展福彩公益金绩效管理及评价工作；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（六）配合开展福彩公益金管理使用情况监督检查工作；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（七）牵头组织公开福彩公益金使用规模、资助项目和执行情况等信息。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第七条</w:t>
      </w: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负责本部门主管的福彩公益金的具体管理工作，主要职责：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（一）制定本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主管的具体福彩公益金资助项目实施方案；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（二）编报本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主管的福彩公益金项目预算建议；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（三）拟订本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主管的福彩公益金分配建议方案，组织项目申报、评审等工作；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（四）组织福彩公益金资助项目具体实施工作；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（五）组织开展福彩公益金绩效管理及绩效评价工作，撰写绩效评价报告；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（六）组织开展福彩公益金管理使用情况监督检查工作；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（七）配合公开福彩公益金使用规模、资助项目和执行情况等信息。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第八条</w:t>
      </w: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福彩公益金使用单位具体负责本单位福彩公益金的管理使用工作，主要职责：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（一）按规定程序组织项目申报和实施工作；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（二）规范使用福彩公益金，确保专款专用；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（三）按规定对福彩公益金进行会计核算和财务管理；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（四）向上级报送福彩公益金使用情况，对执行情况进行自查，接受监督管理；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（五）开展项目绩效自评，报送绩效报告；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（六）对外公开福彩公益金使用情况相关信息等。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第九条</w:t>
      </w: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机关纪委主要职责：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（一）负责对福彩公益金分配管理及使用情况进行纪律监督；</w:t>
      </w:r>
    </w:p>
    <w:p>
      <w:pPr>
        <w:spacing w:line="600" w:lineRule="exact"/>
        <w:ind w:firstLine="72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（二）对履行监督管理职责情况进行核查或抽查；</w:t>
      </w:r>
    </w:p>
    <w:p>
      <w:pPr>
        <w:spacing w:line="600" w:lineRule="exact"/>
        <w:ind w:firstLine="720"/>
        <w:rPr>
          <w:rFonts w:ascii="????_GBK" w:hAnsi="????_GBK" w:cs="????_GBK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highlight w:val="none"/>
        </w:rPr>
        <w:t>（三）依法对违反资金管理使用规定的单位、组织和个人进行查处，通报违法违纪情况。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600" w:lineRule="exact"/>
        <w:ind w:firstLine="600" w:firstLineChars="200"/>
        <w:rPr>
          <w:rStyle w:val="16"/>
          <w:rFonts w:ascii="????_GBK" w:hAnsi="????_GBK" w:cs="Times New Roman"/>
          <w:sz w:val="30"/>
          <w:szCs w:val="30"/>
        </w:rPr>
      </w:pPr>
    </w:p>
    <w:p>
      <w:pPr>
        <w:spacing w:line="60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第三章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预算编制</w:t>
      </w:r>
    </w:p>
    <w:p>
      <w:pPr>
        <w:spacing w:line="600" w:lineRule="exact"/>
        <w:ind w:firstLine="720"/>
        <w:rPr>
          <w:rFonts w:ascii="????_GBK" w:hAnsi="????_GBK" w:cs="????_GBK"/>
          <w:b/>
          <w:bCs/>
          <w:color w:val="000000"/>
          <w:kern w:val="0"/>
          <w:sz w:val="32"/>
          <w:szCs w:val="32"/>
        </w:rPr>
      </w:pP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ascii="????_GBK" w:hAnsi="????_GBK" w:cs="????_GBK"/>
          <w:b/>
          <w:bCs/>
          <w:color w:val="000000"/>
          <w:kern w:val="0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Style w:val="17"/>
          <w:rFonts w:eastAsia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第十条</w:t>
      </w:r>
      <w:r>
        <w:rPr>
          <w:rFonts w:ascii="????_GBK" w:hAnsi="????_GBK" w:cs="????_GBK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Style w:val="17"/>
          <w:rFonts w:hint="eastAsia" w:eastAsia="仿宋_GB2312" w:cs="仿宋_GB2312"/>
          <w:color w:val="333333"/>
          <w:sz w:val="32"/>
          <w:szCs w:val="32"/>
        </w:rPr>
        <w:t>福彩公益金预算编制应遵循“以收定支、专款专用”的原则，福彩公益金支出根据福彩公益金收入情况，按规定用途安排，要统筹规划，注重效益。</w:t>
      </w:r>
    </w:p>
    <w:p>
      <w:pPr>
        <w:spacing w:line="600" w:lineRule="exact"/>
        <w:ind w:firstLine="640" w:firstLineChars="200"/>
        <w:rPr>
          <w:rStyle w:val="17"/>
          <w:rFonts w:eastAsia="仿宋_GB2312"/>
          <w:color w:val="333333"/>
          <w:sz w:val="32"/>
          <w:szCs w:val="32"/>
        </w:rPr>
      </w:pPr>
      <w:r>
        <w:rPr>
          <w:rStyle w:val="17"/>
          <w:rFonts w:hint="eastAsia" w:eastAsia="仿宋_GB2312"/>
          <w:color w:val="333333"/>
          <w:sz w:val="32"/>
          <w:szCs w:val="32"/>
        </w:rPr>
        <w:t>不编制赤字预算，结余结转资金下年继续纳入</w:t>
      </w:r>
      <w:r>
        <w:rPr>
          <w:rStyle w:val="17"/>
          <w:rFonts w:eastAsia="仿宋_GB2312"/>
          <w:color w:val="333333"/>
          <w:sz w:val="32"/>
          <w:szCs w:val="32"/>
        </w:rPr>
        <w:t>预算管理</w:t>
      </w:r>
      <w:r>
        <w:rPr>
          <w:rStyle w:val="17"/>
          <w:rFonts w:hint="eastAsia" w:eastAsia="仿宋_GB2312"/>
          <w:color w:val="333333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福彩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  <w:t>公益金</w:t>
      </w:r>
      <w:r>
        <w:rPr>
          <w:rFonts w:hint="eastAsia" w:ascii="仿宋_GB2312" w:eastAsia="仿宋_GB2312" w:cs="仿宋_GB2312"/>
          <w:sz w:val="32"/>
          <w:szCs w:val="32"/>
        </w:rPr>
        <w:t>实行中期财政规划管理。</w:t>
      </w:r>
    </w:p>
    <w:p>
      <w:pPr>
        <w:spacing w:line="600" w:lineRule="exact"/>
        <w:ind w:firstLine="640" w:firstLineChars="200"/>
        <w:rPr>
          <w:rStyle w:val="17"/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第十一条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福彩公益金资助项目应实行项目库管理。根据工作实际，建立健全项目入库评审机制和项目滚动管理机制。民政部门要提前做好预算项目的可行性研究、立项评审等前期准备工作。对未纳入项目库的项目原则上不予支持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第十二条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color w:val="000000"/>
          <w:kern w:val="0"/>
          <w:sz w:val="32"/>
          <w:szCs w:val="32"/>
        </w:rPr>
        <w:t>福彩公益金预算编制程序：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（一）编制收入预算。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根据当年福利彩票销售情况和福彩公益金分配政策，预计下年度本级福彩公益金收入预算数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二</w:t>
      </w:r>
      <w:r>
        <w:rPr>
          <w:rStyle w:val="16"/>
          <w:rFonts w:hint="eastAsia" w:hAnsi="????_GBK"/>
          <w:sz w:val="32"/>
          <w:szCs w:val="32"/>
        </w:rPr>
        <w:t>）提报预算建议。相关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</w:t>
      </w:r>
      <w:r>
        <w:rPr>
          <w:rStyle w:val="16"/>
          <w:rFonts w:hint="eastAsia" w:hAnsi="????_GBK"/>
          <w:sz w:val="32"/>
          <w:szCs w:val="32"/>
        </w:rPr>
        <w:t>、单位根据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000000"/>
          <w:sz w:val="32"/>
          <w:szCs w:val="32"/>
        </w:rPr>
        <w:t>全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000000"/>
          <w:sz w:val="32"/>
          <w:szCs w:val="32"/>
          <w:lang w:eastAsia="zh-CN"/>
        </w:rPr>
        <w:t>市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000000"/>
          <w:sz w:val="32"/>
          <w:szCs w:val="32"/>
        </w:rPr>
        <w:t>民政事业发展规划，在公益金支出范围内，按照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000000"/>
          <w:sz w:val="32"/>
          <w:szCs w:val="32"/>
          <w:lang w:eastAsia="zh-CN"/>
        </w:rPr>
        <w:t>市财政局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000000"/>
          <w:sz w:val="32"/>
          <w:szCs w:val="32"/>
        </w:rPr>
        <w:t>预算编制要求，结合一般公共预算资金安排情况，编制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000000"/>
          <w:sz w:val="32"/>
          <w:szCs w:val="32"/>
          <w:lang w:eastAsia="zh-CN"/>
        </w:rPr>
        <w:t>市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000000"/>
          <w:sz w:val="32"/>
          <w:szCs w:val="32"/>
        </w:rPr>
        <w:t>级福彩公益金中期财政规划，并根据年度民政事业发展计划确定年度实施计划，明确支持方向、重点、目标和资金需求，编制年度福彩公益金预算建议，提交项目简要说明、具体实施方案和可行性研究报告、资金测算过程、</w:t>
      </w:r>
      <w:r>
        <w:rPr>
          <w:rStyle w:val="16"/>
          <w:rFonts w:hint="eastAsia" w:hAnsi="????_GBK"/>
          <w:sz w:val="32"/>
          <w:szCs w:val="32"/>
        </w:rPr>
        <w:t>资金初步分配方案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000000"/>
          <w:sz w:val="32"/>
          <w:szCs w:val="32"/>
        </w:rPr>
        <w:t>，同时</w:t>
      </w:r>
      <w:r>
        <w:rPr>
          <w:rStyle w:val="16"/>
          <w:rFonts w:hint="eastAsia" w:hAnsi="????_GBK"/>
          <w:sz w:val="32"/>
          <w:szCs w:val="32"/>
        </w:rPr>
        <w:t>填报《支出项目绩效目标申报表》。要加强项目前期论证，细化项目编制内容，明确实施计划和时间进度。</w:t>
      </w:r>
      <w:r>
        <w:rPr>
          <w:rStyle w:val="16"/>
          <w:rFonts w:hAnsi="????_GBK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三</w:t>
      </w:r>
      <w:r>
        <w:rPr>
          <w:rStyle w:val="16"/>
          <w:rFonts w:hint="eastAsia" w:hAnsi="????_GBK"/>
          <w:sz w:val="32"/>
          <w:szCs w:val="32"/>
        </w:rPr>
        <w:t>）预算建议审核。福彩公益金年度预算建议，随一般公共预算，经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</w:t>
      </w:r>
      <w:r>
        <w:rPr>
          <w:rStyle w:val="16"/>
          <w:rFonts w:hint="eastAsia" w:hAnsi="????_GBK"/>
          <w:sz w:val="32"/>
          <w:szCs w:val="32"/>
        </w:rPr>
        <w:t>、单位主要负责人和分管业务的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领导审签后交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Ansi="????_GBK"/>
          <w:sz w:val="32"/>
          <w:szCs w:val="32"/>
        </w:rPr>
        <w:t>,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进行审核汇总，并纳入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市局</w:t>
      </w:r>
      <w:r>
        <w:rPr>
          <w:rStyle w:val="16"/>
          <w:rFonts w:hint="eastAsia" w:hAnsi="????_GBK"/>
          <w:sz w:val="32"/>
          <w:szCs w:val="32"/>
        </w:rPr>
        <w:t>年度部门预算总体方案，经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局长</w:t>
      </w:r>
      <w:r>
        <w:rPr>
          <w:rStyle w:val="16"/>
          <w:rFonts w:hint="eastAsia" w:hAnsi="????_GBK"/>
          <w:sz w:val="32"/>
          <w:szCs w:val="32"/>
        </w:rPr>
        <w:t>审定或报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长办公会议集体研究通过后，按规定程序和要求报送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四</w:t>
      </w:r>
      <w:r>
        <w:rPr>
          <w:rStyle w:val="16"/>
          <w:rFonts w:hint="eastAsia" w:hAnsi="????_GBK"/>
          <w:sz w:val="32"/>
          <w:szCs w:val="32"/>
        </w:rPr>
        <w:t>）修订完善预算草案。根据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要求对相关项目进一步修改完善，并积极做好预算争取工作。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第十三条</w:t>
      </w:r>
      <w:r>
        <w:rPr>
          <w:rStyle w:val="16"/>
          <w:rFonts w:hAnsi="????_GBK"/>
          <w:sz w:val="32"/>
          <w:szCs w:val="32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经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</w:t>
      </w:r>
      <w:r>
        <w:rPr>
          <w:rStyle w:val="16"/>
          <w:rFonts w:hint="eastAsia" w:hAnsi="????_GBK"/>
          <w:sz w:val="32"/>
          <w:szCs w:val="32"/>
        </w:rPr>
        <w:t>人代会批准后，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根据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预算批复，将确定的福彩公益金预算正式通知相关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</w:t>
      </w:r>
      <w:r>
        <w:rPr>
          <w:rStyle w:val="16"/>
          <w:rFonts w:hint="eastAsia" w:hAnsi="????_GBK"/>
          <w:sz w:val="32"/>
          <w:szCs w:val="32"/>
        </w:rPr>
        <w:t>和单位。</w:t>
      </w:r>
    </w:p>
    <w:p>
      <w:pPr>
        <w:spacing w:line="600" w:lineRule="exact"/>
        <w:rPr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</w:t>
      </w:r>
      <w:r>
        <w:rPr>
          <w:rFonts w:ascii="黑体" w:hAnsi="黑体" w:eastAsia="黑体" w:cs="黑体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管理与使用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第十四条</w:t>
      </w:r>
      <w:r>
        <w:rPr>
          <w:rStyle w:val="16"/>
          <w:rFonts w:hAnsi="????_GBK"/>
          <w:sz w:val="32"/>
          <w:szCs w:val="32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制定福彩公益金具体实施方案。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配合相关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</w:t>
      </w:r>
      <w:r>
        <w:rPr>
          <w:rStyle w:val="16"/>
          <w:rFonts w:hint="eastAsia" w:hAnsi="????_GBK"/>
          <w:sz w:val="32"/>
          <w:szCs w:val="32"/>
        </w:rPr>
        <w:t>制定福彩公益金具体实施方案，包括资金使用范围、使用或申报评审程序、资金拨付、绩效管理、监督检查和责任追究等内容。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第十五条</w:t>
      </w:r>
      <w:r>
        <w:rPr>
          <w:rStyle w:val="16"/>
          <w:rFonts w:hint="eastAsia" w:hAnsi="????_GBK"/>
          <w:sz w:val="32"/>
          <w:szCs w:val="32"/>
        </w:rPr>
        <w:t>　福彩公益金分配方法。福彩公益金按照公开、公平、公正原则，根据资金使用方向，结合工作实际，采用因素法和项目法相结合的方式分配。其中</w:t>
      </w:r>
      <w:r>
        <w:rPr>
          <w:rStyle w:val="16"/>
          <w:rFonts w:hAnsi="????_GBK"/>
          <w:sz w:val="32"/>
          <w:szCs w:val="32"/>
        </w:rPr>
        <w:t>，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对下补助资金，按照支出方向选择分配方式；本级项目资金，根据事业发展需要，采取项目法管理从严界定项目，据实控制资金规模。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第十六条</w:t>
      </w:r>
      <w:r>
        <w:rPr>
          <w:rStyle w:val="16"/>
          <w:rFonts w:hAnsi="????_GBK"/>
          <w:sz w:val="32"/>
          <w:szCs w:val="32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采用因素法分配的福彩公益金应遵循以下工作程序：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（一）相关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</w:t>
      </w:r>
      <w:r>
        <w:rPr>
          <w:rStyle w:val="16"/>
          <w:rFonts w:hint="eastAsia" w:hAnsi="????_GBK"/>
          <w:sz w:val="32"/>
          <w:szCs w:val="32"/>
        </w:rPr>
        <w:t>与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</w:t>
      </w:r>
      <w:r>
        <w:rPr>
          <w:rStyle w:val="16"/>
          <w:rFonts w:hint="eastAsia" w:hAnsi="????_GBK"/>
          <w:sz w:val="32"/>
          <w:szCs w:val="32"/>
        </w:rPr>
        <w:t>室商定资金分配挂钩因素、权重和计算公式等，提出初步分配方案，与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</w:t>
      </w:r>
      <w:r>
        <w:rPr>
          <w:rStyle w:val="16"/>
          <w:rFonts w:hint="eastAsia" w:hAnsi="????_GBK"/>
          <w:sz w:val="32"/>
          <w:szCs w:val="32"/>
        </w:rPr>
        <w:t>室充分沟通，经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</w:t>
      </w:r>
      <w:r>
        <w:rPr>
          <w:rStyle w:val="16"/>
          <w:rFonts w:hint="eastAsia" w:hAnsi="????_GBK"/>
          <w:sz w:val="32"/>
          <w:szCs w:val="32"/>
        </w:rPr>
        <w:t>主要负责人和分管业务的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领导审签后交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pStyle w:val="6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eastAsia="仿宋_GB2312" w:cs="Times New Roman"/>
          <w:sz w:val="32"/>
          <w:szCs w:val="32"/>
        </w:rPr>
      </w:pP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分配因素综合参考保障对象数量（或民政基本公共服务及重点任务基本情况、相关机构数）、地方财力和工作绩效等因素。不同项目可根据实际情况确定具体分配因素和相应权重。根据事业发展需要和年度工作重点任务可适当调整。工作绩效因素包括绩效评价、预算执行、地方财政努力程度等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（二）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对资金分配方案的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合理性</w:t>
      </w:r>
      <w:r>
        <w:rPr>
          <w:rStyle w:val="16"/>
          <w:rFonts w:hint="eastAsia" w:hAnsi="????_GBK"/>
          <w:sz w:val="32"/>
          <w:szCs w:val="32"/>
        </w:rPr>
        <w:t>进行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初步</w:t>
      </w:r>
      <w:r>
        <w:rPr>
          <w:rStyle w:val="16"/>
          <w:rFonts w:hint="eastAsia" w:hAnsi="????_GBK"/>
          <w:sz w:val="32"/>
          <w:szCs w:val="32"/>
        </w:rPr>
        <w:t>审核，经分管财务的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领导和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长审定后，提请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党组会议集体研究。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第十七条</w:t>
      </w:r>
      <w:r>
        <w:rPr>
          <w:rStyle w:val="16"/>
          <w:rFonts w:hAnsi="????_GBK"/>
          <w:sz w:val="32"/>
          <w:szCs w:val="32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采用项目法分配的福彩公益金应遵循以下工作程序：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（一）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配合相关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科（室、局）协调市财政局</w:t>
      </w:r>
      <w:r>
        <w:rPr>
          <w:rStyle w:val="16"/>
          <w:rFonts w:hint="eastAsia" w:hAnsi="????_GBK"/>
          <w:sz w:val="32"/>
          <w:szCs w:val="32"/>
        </w:rPr>
        <w:t>，联合制定项目实施方案，下发项目申报文件</w:t>
      </w:r>
      <w:r>
        <w:rPr>
          <w:rStyle w:val="16"/>
          <w:rFonts w:hint="eastAsia" w:hAnsi="????_GBK" w:eastAsia="仿宋_GB2312"/>
          <w:sz w:val="32"/>
          <w:szCs w:val="32"/>
          <w:lang w:val="en-US" w:eastAsia="zh-CN"/>
        </w:rPr>
        <w:t>,实行项目库管理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（二）</w:t>
      </w:r>
      <w:r>
        <w:rPr>
          <w:rFonts w:hint="eastAsia" w:ascii="仿宋_GB2312" w:hAnsi="华文仿宋" w:eastAsia="仿宋_GB2312" w:cs="仿宋_GB2312"/>
          <w:sz w:val="32"/>
          <w:szCs w:val="32"/>
        </w:rPr>
        <w:t>对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市民政局</w:t>
      </w:r>
      <w:r>
        <w:rPr>
          <w:rFonts w:hint="eastAsia" w:ascii="仿宋_GB2312" w:hAnsi="华文仿宋" w:eastAsia="仿宋_GB2312" w:cs="仿宋_GB2312"/>
          <w:sz w:val="32"/>
          <w:szCs w:val="32"/>
        </w:rPr>
        <w:t>及所属事业单位实施的项目，由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市民政局</w:t>
      </w:r>
      <w:r>
        <w:rPr>
          <w:rFonts w:hint="eastAsia" w:ascii="仿宋_GB2312" w:hAnsi="华文仿宋" w:eastAsia="仿宋_GB2312" w:cs="仿宋_GB2312"/>
          <w:sz w:val="32"/>
          <w:szCs w:val="32"/>
        </w:rPr>
        <w:t>负责按照程序组织申报；对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各区（市）</w:t>
      </w:r>
      <w:r>
        <w:rPr>
          <w:rFonts w:hint="eastAsia" w:ascii="仿宋_GB2312" w:hAnsi="华文仿宋" w:eastAsia="仿宋_GB2312" w:cs="仿宋_GB2312"/>
          <w:sz w:val="32"/>
          <w:szCs w:val="32"/>
        </w:rPr>
        <w:t>实施的项目，</w:t>
      </w:r>
      <w:r>
        <w:rPr>
          <w:rStyle w:val="16"/>
          <w:rFonts w:hint="eastAsia" w:hAnsi="????_GBK"/>
          <w:sz w:val="32"/>
          <w:szCs w:val="32"/>
        </w:rPr>
        <w:t>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</w:t>
      </w:r>
      <w:r>
        <w:rPr>
          <w:rStyle w:val="16"/>
          <w:rFonts w:hint="eastAsia" w:hAnsi="????_GBK"/>
          <w:sz w:val="32"/>
          <w:szCs w:val="32"/>
        </w:rPr>
        <w:t>根据</w:t>
      </w:r>
      <w:r>
        <w:rPr>
          <w:rFonts w:hint="eastAsia" w:ascii="仿宋_GB2312" w:hAnsi="华文仿宋" w:eastAsia="仿宋_GB2312" w:cs="仿宋_GB2312"/>
          <w:sz w:val="32"/>
          <w:szCs w:val="32"/>
        </w:rPr>
        <w:t>各区（市）</w:t>
      </w:r>
      <w:r>
        <w:rPr>
          <w:rStyle w:val="16"/>
          <w:rFonts w:hint="eastAsia" w:hAnsi="????_GBK"/>
          <w:sz w:val="32"/>
          <w:szCs w:val="32"/>
        </w:rPr>
        <w:t>民政、财政部门联合申报的资助项目，依据民政事业发展需要和年度工作重点择优选择，可采取专家论证、第三方机构评估等方式进行评审，提出初步分配方案，与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相关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</w:t>
      </w:r>
      <w:r>
        <w:rPr>
          <w:rStyle w:val="16"/>
          <w:rFonts w:hint="eastAsia" w:hAnsi="????_GBK"/>
          <w:sz w:val="32"/>
          <w:szCs w:val="32"/>
        </w:rPr>
        <w:t>室充分沟通，经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科（室、局）</w:t>
      </w:r>
      <w:r>
        <w:rPr>
          <w:rStyle w:val="16"/>
          <w:rFonts w:hint="eastAsia" w:hAnsi="????_GBK"/>
          <w:sz w:val="32"/>
          <w:szCs w:val="32"/>
        </w:rPr>
        <w:t>主要负责人和分管业务的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领导审签后交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（三）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对资金分配方案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的合理性</w:t>
      </w:r>
      <w:r>
        <w:rPr>
          <w:rStyle w:val="16"/>
          <w:rFonts w:hint="eastAsia" w:hAnsi="????_GBK"/>
          <w:sz w:val="32"/>
          <w:szCs w:val="32"/>
        </w:rPr>
        <w:t>进行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初步</w:t>
      </w:r>
      <w:r>
        <w:rPr>
          <w:rStyle w:val="16"/>
          <w:rFonts w:hint="eastAsia" w:hAnsi="????_GBK"/>
          <w:sz w:val="32"/>
          <w:szCs w:val="32"/>
        </w:rPr>
        <w:t>审核，经分管财务的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领导和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长审定后，提请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局</w:t>
      </w:r>
      <w:r>
        <w:rPr>
          <w:rStyle w:val="16"/>
          <w:rFonts w:hint="eastAsia" w:hAnsi="????_GBK"/>
          <w:sz w:val="32"/>
          <w:szCs w:val="32"/>
        </w:rPr>
        <w:t>党组会议集体研究。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第十八条</w:t>
      </w:r>
      <w:r>
        <w:rPr>
          <w:rStyle w:val="16"/>
          <w:rFonts w:hAnsi="????_GBK"/>
          <w:sz w:val="32"/>
          <w:szCs w:val="32"/>
        </w:rPr>
        <w:t xml:space="preserve">  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财务核算中心</w:t>
      </w:r>
      <w:r>
        <w:rPr>
          <w:rStyle w:val="16"/>
          <w:rFonts w:hint="eastAsia" w:hAnsi="????_GBK"/>
          <w:sz w:val="32"/>
          <w:szCs w:val="32"/>
        </w:rPr>
        <w:t>将按程序进行集体研究确定的资金分配方案以书面形式正式报送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，并将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下达的指标文件抄送各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区（市）</w:t>
      </w:r>
      <w:r>
        <w:rPr>
          <w:rStyle w:val="16"/>
          <w:rFonts w:hint="eastAsia" w:hAnsi="????_GBK"/>
          <w:sz w:val="32"/>
          <w:szCs w:val="32"/>
        </w:rPr>
        <w:t>民政局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，枣庄高新区社会事业局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第十九条</w:t>
      </w:r>
      <w:r>
        <w:rPr>
          <w:rStyle w:val="16"/>
          <w:rFonts w:hAnsi="????_GBK"/>
          <w:sz w:val="32"/>
          <w:szCs w:val="32"/>
        </w:rPr>
        <w:t xml:space="preserve">  </w:t>
      </w:r>
      <w:r>
        <w:rPr>
          <w:rStyle w:val="16"/>
          <w:rFonts w:hint="eastAsia" w:hAnsi="????_GBK"/>
          <w:sz w:val="32"/>
          <w:szCs w:val="32"/>
        </w:rPr>
        <w:t>提报福彩公益金分配方案时限要求：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（一）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</w:t>
      </w:r>
      <w:r>
        <w:rPr>
          <w:rStyle w:val="16"/>
          <w:rFonts w:hint="eastAsia" w:hAnsi="????_GBK"/>
          <w:sz w:val="32"/>
          <w:szCs w:val="32"/>
        </w:rPr>
        <w:t>级预算安排的与一般性转移支付资金统筹使用的福彩公益金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、</w:t>
      </w:r>
      <w:r>
        <w:rPr>
          <w:rStyle w:val="16"/>
          <w:rFonts w:hint="eastAsia" w:hAnsi="????_GBK"/>
          <w:sz w:val="32"/>
          <w:szCs w:val="32"/>
        </w:rPr>
        <w:t>专项转移支付福彩公益金，按规定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时限与</w:t>
      </w:r>
      <w:r>
        <w:rPr>
          <w:rStyle w:val="16"/>
          <w:rFonts w:hint="eastAsia" w:hAnsi="????_GBK"/>
          <w:sz w:val="32"/>
          <w:szCs w:val="32"/>
        </w:rPr>
        <w:t>程序将资金分配方案报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  <w:highlight w:val="yellow"/>
        </w:rPr>
      </w:pPr>
      <w:r>
        <w:rPr>
          <w:rStyle w:val="16"/>
          <w:rFonts w:hint="eastAsia" w:hAnsi="????_GBK"/>
          <w:sz w:val="32"/>
          <w:szCs w:val="32"/>
        </w:rPr>
        <w:t>（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二</w:t>
      </w:r>
      <w:r>
        <w:rPr>
          <w:rStyle w:val="16"/>
          <w:rFonts w:hint="eastAsia" w:hAnsi="????_GBK"/>
          <w:sz w:val="32"/>
          <w:szCs w:val="32"/>
        </w:rPr>
        <w:t>）中央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、省</w:t>
      </w:r>
      <w:r>
        <w:rPr>
          <w:rStyle w:val="16"/>
          <w:rFonts w:hint="eastAsia" w:hAnsi="????_GBK"/>
          <w:sz w:val="32"/>
          <w:szCs w:val="32"/>
        </w:rPr>
        <w:t>下达的福彩公益金，在收到文件后</w:t>
      </w:r>
      <w:r>
        <w:rPr>
          <w:rStyle w:val="16"/>
          <w:rFonts w:hint="eastAsia" w:hAnsi="????_GBK" w:eastAsia="仿宋_GB2312"/>
          <w:sz w:val="32"/>
          <w:szCs w:val="32"/>
          <w:lang w:val="en-US" w:eastAsia="zh-CN"/>
        </w:rPr>
        <w:t>30</w:t>
      </w:r>
      <w:r>
        <w:rPr>
          <w:rStyle w:val="16"/>
          <w:rFonts w:hint="eastAsia" w:hAnsi="????_GBK"/>
          <w:sz w:val="32"/>
          <w:szCs w:val="32"/>
        </w:rPr>
        <w:t>日内，按规定程序将资金分配方案报</w:t>
      </w:r>
      <w:r>
        <w:rPr>
          <w:rStyle w:val="16"/>
          <w:rFonts w:hint="eastAsia" w:hAnsi="????_GBK" w:eastAsia="仿宋_GB2312"/>
          <w:sz w:val="32"/>
          <w:szCs w:val="32"/>
          <w:lang w:eastAsia="zh-CN"/>
        </w:rPr>
        <w:t>市财政局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Style w:val="16"/>
          <w:rFonts w:hAnsi="????_GBK" w:cs="Times New Roman"/>
          <w:sz w:val="32"/>
          <w:szCs w:val="32"/>
        </w:rPr>
      </w:pPr>
      <w:r>
        <w:rPr>
          <w:rStyle w:val="16"/>
          <w:rFonts w:hint="eastAsia" w:hAnsi="????_GBK"/>
          <w:sz w:val="32"/>
          <w:szCs w:val="32"/>
        </w:rPr>
        <w:t>中央和省有明确时限要求的，按具体要求办理。</w:t>
      </w:r>
    </w:p>
    <w:p>
      <w:pPr>
        <w:pStyle w:val="6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Style w:val="16"/>
          <w:rFonts w:hAnsi="黑体" w:cs="Times New Roman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第二十条</w:t>
      </w:r>
      <w: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  <w:t xml:space="preserve">  </w:t>
      </w:r>
      <w:r>
        <w:rPr>
          <w:rStyle w:val="19"/>
          <w:rFonts w:hint="eastAsia" w:hAnsi="????_GBK"/>
          <w:sz w:val="32"/>
          <w:szCs w:val="32"/>
        </w:rPr>
        <w:t>福彩公益金使用单位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shd w:val="clear" w:color="auto" w:fill="FFFFFF"/>
        </w:rPr>
        <w:t>应建立健全资金申报审核审批机制，</w:t>
      </w:r>
      <w:r>
        <w:rPr>
          <w:rStyle w:val="19"/>
          <w:rFonts w:hint="eastAsia" w:hAnsi="????_GBK"/>
          <w:sz w:val="32"/>
          <w:szCs w:val="32"/>
        </w:rPr>
        <w:t>制定资金使用管理办法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shd w:val="clear" w:color="auto" w:fill="FFFFFF"/>
        </w:rPr>
        <w:t>，完善内部控制制度，</w:t>
      </w:r>
      <w:r>
        <w:rPr>
          <w:rStyle w:val="19"/>
          <w:rFonts w:hint="eastAsia" w:hAnsi="????_GBK"/>
          <w:sz w:val="32"/>
          <w:szCs w:val="32"/>
        </w:rPr>
        <w:t>建立项目责任制，实行项目负责人负责制，项目单位负责人要对所承担项目资金的使用和效益负责。</w:t>
      </w:r>
    </w:p>
    <w:p>
      <w:pPr>
        <w:spacing w:line="600" w:lineRule="exact"/>
        <w:ind w:firstLine="640" w:firstLineChars="200"/>
        <w:rPr>
          <w:rStyle w:val="16"/>
          <w:rFonts w:hAnsi="黑体" w:cs="Times New Roman"/>
          <w:sz w:val="32"/>
          <w:szCs w:val="32"/>
          <w:shd w:val="clear" w:color="auto" w:fill="FFFFFF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第二十一条</w:t>
      </w:r>
      <w:r>
        <w:rPr>
          <w:rStyle w:val="16"/>
          <w:rFonts w:ascii="黑体" w:hAnsi="黑体" w:eastAsia="黑体" w:cs="黑体"/>
          <w:sz w:val="32"/>
          <w:szCs w:val="32"/>
        </w:rPr>
        <w:t xml:space="preserve">  </w:t>
      </w:r>
      <w:r>
        <w:rPr>
          <w:rStyle w:val="16"/>
          <w:rFonts w:hint="eastAsia" w:hAnsi="黑体"/>
          <w:sz w:val="32"/>
          <w:szCs w:val="32"/>
        </w:rPr>
        <w:t>福彩公益金应当专款专用，任何单位和个人不得擅自变更资金用途。因项目实施环境和条件发生重大变化确需调整的，</w:t>
      </w:r>
      <w:r>
        <w:rPr>
          <w:rStyle w:val="19"/>
          <w:rFonts w:hint="eastAsia" w:hAnsi="????_GBK"/>
          <w:sz w:val="32"/>
          <w:szCs w:val="32"/>
        </w:rPr>
        <w:t>应按照预算管理有关规定和程序经批准后执行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第二十二条</w:t>
      </w:r>
      <w:r>
        <w:rPr>
          <w:rFonts w:ascii="仿宋_GB2312" w:hAnsi="????_GBK" w:eastAsia="仿宋_GB2312" w:cs="仿宋_GB2312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黑体" w:eastAsia="仿宋_GB2312" w:cs="仿宋_GB2312"/>
          <w:sz w:val="32"/>
          <w:szCs w:val="32"/>
        </w:rPr>
        <w:t>资金使用中</w:t>
      </w:r>
      <w:r>
        <w:rPr>
          <w:rFonts w:hint="eastAsia" w:ascii="仿宋_GB2312" w:hAnsi="黑体" w:eastAsia="仿宋_GB2312" w:cs="仿宋_GB2312"/>
          <w:color w:val="000000"/>
          <w:sz w:val="32"/>
          <w:szCs w:val="32"/>
          <w:shd w:val="clear" w:color="auto" w:fill="FFFFFF"/>
        </w:rPr>
        <w:t>涉及政府采购和基本建设项目的，应严格按相关规定和程序执行。</w:t>
      </w:r>
      <w:r>
        <w:rPr>
          <w:rStyle w:val="16"/>
          <w:rFonts w:hint="eastAsia" w:hAnsi="????_GBK"/>
          <w:sz w:val="32"/>
          <w:szCs w:val="32"/>
        </w:rPr>
        <w:t>涉及购买服务项目的，要按照政府购买服务有关规定，积极通过政府购买服务方式引导社会力量参与提供民政相关服务。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color w:val="000000"/>
          <w:sz w:val="32"/>
          <w:szCs w:val="32"/>
          <w:shd w:val="clear" w:color="auto" w:fill="FFFFFF"/>
        </w:rPr>
        <w:t>基本建设和购置的设施、设备和器材等，应及时办理国有资产产权登记手续，严格按照国有资产有关规定进行管理</w:t>
      </w:r>
      <w:r>
        <w:rPr>
          <w:rStyle w:val="16"/>
          <w:rFonts w:hint="eastAsia" w:hAnsi="????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  <w:shd w:val="clear" w:color="auto" w:fill="FFFFFF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第二十三条</w:t>
      </w:r>
      <w:r>
        <w:rPr>
          <w:rFonts w:ascii="仿宋_GB2312" w:hAnsi="????_GBK" w:eastAsia="仿宋_GB2312" w:cs="仿宋_GB2312"/>
          <w:b/>
          <w:bCs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福彩公益金形成的结余结转资金，按规定结转下年使用，原则上结转两年，并且在下年度预算中按科目和项目列示，不得挪作他用。</w:t>
      </w:r>
    </w:p>
    <w:p>
      <w:pPr>
        <w:pStyle w:val="6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Times New Roman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第二十四</w:t>
      </w:r>
      <w:r>
        <w:rPr>
          <w:rStyle w:val="16"/>
          <w:rFonts w:hint="eastAsia" w:ascii="黑体" w:hAnsi="黑体" w:eastAsia="黑体" w:cs="黑体"/>
          <w:kern w:val="2"/>
          <w:sz w:val="32"/>
          <w:szCs w:val="32"/>
        </w:rPr>
        <w:t>条</w:t>
      </w:r>
      <w:r>
        <w:rPr>
          <w:rFonts w:ascii="仿宋_GB2312" w:hAnsi="????_GBK" w:eastAsia="仿宋_GB2312" w:cs="仿宋_GB2312"/>
          <w:b/>
          <w:bCs/>
          <w:color w:val="000000"/>
          <w:sz w:val="32"/>
          <w:szCs w:val="32"/>
        </w:rPr>
        <w:t xml:space="preserve">  </w:t>
      </w:r>
      <w:r>
        <w:rPr>
          <w:rStyle w:val="19"/>
          <w:rFonts w:hint="eastAsia" w:hAnsi="????_GBK"/>
          <w:sz w:val="32"/>
          <w:szCs w:val="32"/>
        </w:rPr>
        <w:t>项目单位要严格按照国家财务规章制度、公益金管理有关规定支出资金，严禁虚报套取、挤占、挪用，不得用于：</w:t>
      </w:r>
    </w:p>
    <w:p>
      <w:pPr>
        <w:pStyle w:val="6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（一）各级民政行政机关、直属事业单位、社会福利服务机构的人员经费、行政运行经费、工作经费等一般性开支；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</w:p>
    <w:p>
      <w:pPr>
        <w:pStyle w:val="6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（二）因公出国（境）费、公务接待费、公务用车购置及运行费；</w:t>
      </w:r>
    </w:p>
    <w:p>
      <w:pPr>
        <w:pStyle w:val="6"/>
        <w:widowControl w:val="0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（三）对外投资和其他经营性活动；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（四）其他不符合福利彩票发行宗旨的项目支出。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第二十五条</w:t>
      </w:r>
      <w:r>
        <w:rPr>
          <w:rStyle w:val="16"/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年度结束后，福彩公益金使用单位应将福彩公益金收支情况纳入单位财务决算，并报同级财政部门审批。</w:t>
      </w:r>
    </w:p>
    <w:p>
      <w:pPr>
        <w:spacing w:line="600" w:lineRule="exact"/>
        <w:ind w:firstLine="600" w:firstLineChars="200"/>
        <w:rPr>
          <w:rFonts w:ascii="????_GBK" w:hAnsi="????_GBK" w:cs="????_GBK"/>
          <w:kern w:val="0"/>
          <w:sz w:val="30"/>
          <w:szCs w:val="30"/>
        </w:rPr>
      </w:pPr>
    </w:p>
    <w:p>
      <w:pPr>
        <w:spacing w:line="600" w:lineRule="exact"/>
        <w:jc w:val="center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第五章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绩效管理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第二十六条</w:t>
      </w:r>
      <w:r>
        <w:rPr>
          <w:rStyle w:val="16"/>
          <w:rFonts w:ascii="黑体" w:hAnsi="黑体" w:eastAsia="黑体" w:cs="黑体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加强福彩公益金绩效管理。相关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、单位要按照“预算编制有目标、预算执行有监控、预算完成有评价、评价结果有运用”的要求，建立全过程绩效管理机制。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第二十七条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制定绩效目标。相关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在申报福彩公益金预算时，要制定绩效目标，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市财政局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正式批复后作为预算执行和绩效评价的重要依据。向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区（市）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下拨资金时，应同时将绩效目标对下分解。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第二十八条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建立健全绩效评价指标体系。相关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要按照资金支出特点及可测量、可比较、可追踪的原则，科学设置共性指标和个性指标，提高绩效评价的有效性、针对性和可操作性。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第二十九条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、单位要加强预算执行中绩效监控，项目实施效果与原定绩效目标发生偏离的，应及时纠正，情况严重的要暂缓或停止项目执行。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第三十条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　年度预算执行完毕或阶段性任务完成后，相关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、单位要组织绩效评价。资金使用单位要开展绩效自评，形成绩效报告并逐级上报。相关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要撰写绩效评价报告，经分管业务的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领导审核同意后报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市财政局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第三十一条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　建立绩效纠错问责机制。相关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应及时将绩效评价结果反馈被评价单位，对发现问题要督促整改。加强绩效评价结果运用，将绩效评价结果作为以后年度资金安排的重要参考依据。对福彩公益金管理使用不力，造成严重后果的，要严肃追究相关人员责任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第六章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信息公开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Style w:val="10"/>
          <w:rFonts w:ascii="仿宋_GB2312" w:hAnsi="宋体" w:eastAsia="仿宋_GB2312"/>
          <w:b w:val="0"/>
          <w:bCs w:val="0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第三十二条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福彩公益金资助的建设设施、购置设备和社会公益活动，应当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按照有关规定设立、使用和管理福彩公益金资助标识。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第三十三条</w:t>
      </w:r>
      <w:r>
        <w:rPr>
          <w:rStyle w:val="16"/>
          <w:rFonts w:ascii="黑体" w:hAnsi="黑体" w:eastAsia="黑体" w:cs="黑体"/>
          <w:sz w:val="32"/>
          <w:szCs w:val="32"/>
        </w:rPr>
        <w:t xml:space="preserve">  </w:t>
      </w:r>
      <w:r>
        <w:rPr>
          <w:rStyle w:val="16"/>
          <w:rFonts w:hint="eastAsia" w:hAnsi="黑体"/>
          <w:sz w:val="32"/>
          <w:szCs w:val="32"/>
        </w:rPr>
        <w:t>要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完善福彩公益金信息公开制度，以公开为原则，以不公开为例外，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按照政府信息公开规定和“谁主管、谁负责、谁公开”的原则，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坚持内容全面、真实准确、主体明确、链条完整、获取方便、回应及时的原则，建立福彩公益金信息管理机制。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第三十四条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公开渠道和内容。信息公开以民政部门门户网站为主。公开内容包括福彩公益金管理制度、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预算批复情况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、绩效评价以及其他按规定应公开的内容。</w:t>
      </w:r>
    </w:p>
    <w:p>
      <w:pPr>
        <w:spacing w:line="600" w:lineRule="exact"/>
        <w:ind w:firstLine="640" w:firstLineChars="200"/>
        <w:rPr>
          <w:rFonts w:ascii="仿宋_GB2312" w:hAnsi="Verdana" w:eastAsia="仿宋_GB2312"/>
          <w:color w:val="000000"/>
          <w:sz w:val="32"/>
          <w:szCs w:val="32"/>
          <w:shd w:val="clear" w:color="auto" w:fill="FFFFFF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第三十五条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　公开内容及时间。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市民政局</w:t>
      </w:r>
      <w:r>
        <w:rPr>
          <w:rFonts w:hint="eastAsia" w:ascii="仿宋_GB2312" w:eastAsia="仿宋_GB2312" w:cs="仿宋_GB2312"/>
          <w:sz w:val="32"/>
          <w:szCs w:val="32"/>
        </w:rPr>
        <w:t>应于每年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月底前，将上年度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福彩公益金使用规模、资助项目、执行情况等信息</w:t>
      </w:r>
      <w:r>
        <w:rPr>
          <w:rFonts w:hint="eastAsia" w:ascii="仿宋_GB2312" w:eastAsia="仿宋_GB2312" w:cs="仿宋_GB2312"/>
          <w:sz w:val="32"/>
          <w:szCs w:val="32"/>
        </w:rPr>
        <w:t>向社会发布公告。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各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  <w:lang w:eastAsia="zh-CN"/>
        </w:rPr>
        <w:t>区（市）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民政局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  <w:lang w:eastAsia="zh-CN"/>
        </w:rPr>
        <w:t>，枣庄高新区社会事业局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应于每年</w:t>
      </w:r>
      <w:r>
        <w:rPr>
          <w:rStyle w:val="10"/>
          <w:rFonts w:ascii="仿宋_GB2312" w:hAnsi="黑体" w:eastAsia="仿宋_GB2312" w:cs="仿宋_GB2312"/>
          <w:b w:val="0"/>
          <w:bCs w:val="0"/>
          <w:color w:val="333333"/>
          <w:sz w:val="32"/>
          <w:szCs w:val="32"/>
        </w:rPr>
        <w:t>3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月</w:t>
      </w:r>
      <w:r>
        <w:rPr>
          <w:rStyle w:val="10"/>
          <w:rFonts w:ascii="仿宋_GB2312" w:hAnsi="黑体" w:eastAsia="仿宋_GB2312" w:cs="仿宋_GB2312"/>
          <w:b w:val="0"/>
          <w:bCs w:val="0"/>
          <w:color w:val="333333"/>
          <w:sz w:val="32"/>
          <w:szCs w:val="32"/>
        </w:rPr>
        <w:t>1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  <w:lang w:val="en-US" w:eastAsia="zh-CN"/>
        </w:rPr>
        <w:t>0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日前，将上一年度福彩公益金使用情况报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  <w:lang w:eastAsia="zh-CN"/>
        </w:rPr>
        <w:t>市民政局</w:t>
      </w:r>
      <w:r>
        <w:rPr>
          <w:rStyle w:val="10"/>
          <w:rFonts w:hint="eastAsia" w:ascii="仿宋_GB2312" w:hAnsi="黑体" w:eastAsia="仿宋_GB2312" w:cs="仿宋_GB2312"/>
          <w:b w:val="0"/>
          <w:bCs w:val="0"/>
          <w:color w:val="333333"/>
          <w:sz w:val="32"/>
          <w:szCs w:val="32"/>
        </w:rPr>
        <w:t>，包括项目组织实施情况、项目资金使用和结余情况，以及社会效益和经济效益等。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月底前将</w:t>
      </w:r>
      <w:r>
        <w:rPr>
          <w:rFonts w:hint="eastAsia" w:ascii="仿宋_GB2312" w:eastAsia="仿宋_GB2312" w:cs="仿宋_GB2312"/>
          <w:sz w:val="32"/>
          <w:szCs w:val="32"/>
        </w:rPr>
        <w:t>上级补助和本级安排的福彩公益金使用情况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向社会公告。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第三十六条</w:t>
      </w:r>
      <w:r>
        <w:rPr>
          <w:rStyle w:val="16"/>
          <w:rFonts w:ascii="黑体" w:hAnsi="黑体" w:eastAsia="黑体" w:cs="黑体"/>
          <w:sz w:val="32"/>
          <w:szCs w:val="32"/>
        </w:rPr>
        <w:t xml:space="preserve">  </w:t>
      </w:r>
      <w:r>
        <w:rPr>
          <w:rStyle w:val="16"/>
          <w:rFonts w:hint="eastAsia" w:hAnsi="黑体"/>
          <w:sz w:val="32"/>
          <w:szCs w:val="32"/>
        </w:rPr>
        <w:t>公开程序。严格信息发布的内部报批审核机制，加强信息审核。</w:t>
      </w:r>
      <w:r>
        <w:rPr>
          <w:rStyle w:val="16"/>
          <w:rFonts w:hint="eastAsia" w:hAnsi="黑体" w:eastAsia="仿宋_GB2312"/>
          <w:sz w:val="32"/>
          <w:szCs w:val="32"/>
          <w:lang w:eastAsia="zh-CN"/>
        </w:rPr>
        <w:t>市局</w:t>
      </w:r>
      <w:r>
        <w:rPr>
          <w:rStyle w:val="16"/>
          <w:rFonts w:hint="eastAsia" w:hAnsi="黑体"/>
          <w:sz w:val="32"/>
          <w:szCs w:val="32"/>
        </w:rPr>
        <w:t>发布的福彩公益金相关信息应经</w:t>
      </w:r>
      <w:r>
        <w:rPr>
          <w:rStyle w:val="16"/>
          <w:rFonts w:hint="eastAsia" w:hAnsi="黑体" w:eastAsia="仿宋_GB2312"/>
          <w:sz w:val="32"/>
          <w:szCs w:val="32"/>
          <w:lang w:eastAsia="zh-CN"/>
        </w:rPr>
        <w:t>局主要领导</w:t>
      </w:r>
      <w:r>
        <w:rPr>
          <w:rStyle w:val="16"/>
          <w:rFonts w:hint="eastAsia" w:hAnsi="黑体"/>
          <w:sz w:val="32"/>
          <w:szCs w:val="32"/>
        </w:rPr>
        <w:t>同意后对外公开。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第三十七条</w:t>
      </w:r>
      <w:r>
        <w:rPr>
          <w:rStyle w:val="16"/>
          <w:rFonts w:ascii="黑体" w:hAnsi="黑体" w:eastAsia="黑体" w:cs="黑体"/>
          <w:sz w:val="32"/>
          <w:szCs w:val="32"/>
        </w:rPr>
        <w:t xml:space="preserve">  </w:t>
      </w:r>
      <w:r>
        <w:rPr>
          <w:rStyle w:val="16"/>
          <w:rFonts w:hint="eastAsia" w:hAnsi="黑体" w:eastAsia="仿宋_GB2312"/>
          <w:sz w:val="32"/>
          <w:szCs w:val="32"/>
          <w:lang w:eastAsia="zh-CN"/>
        </w:rPr>
        <w:t>财务核算中心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对本级直接使用的福彩公益金，随部门预算一并公开相关信息，执行中有调整、新增的，随部门决算公开相关信息。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第七章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监督检查</w:t>
      </w:r>
    </w:p>
    <w:p>
      <w:pPr>
        <w:spacing w:line="60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第三十八条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　实行福彩公益金监管责任制。严格落实“谁主管、谁负责”、“谁审批、谁负责”、“谁经办、谁负责”的岗位责任制。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第三十九条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福彩公益金使用单位要加强管理，确保专项资金安全、合规、有效使用。充分发挥单位内部审计和纪检监察机构的作用，建立健全资金使用动态监控机制和内部监督检查机制，履行内部监督职责。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第四十条</w:t>
      </w:r>
      <w:r>
        <w:rPr>
          <w:rStyle w:val="16"/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财务核算中心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要配合相关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科（室、局）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、单位加强福彩公益金管理与监督，定期或不定期对福彩公益金管理使用情况开展专项审计检查，及时发现和处理存在的问题。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第四十一条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机关纪委要加强福彩公益金项目评审、资金管理使用的监督检查，对资金使用单位进行核查或抽查。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第四十二条</w:t>
      </w:r>
      <w:r>
        <w:rPr>
          <w:rStyle w:val="16"/>
          <w:rFonts w:ascii="黑体" w:hAnsi="黑体" w:eastAsia="黑体" w:cs="黑体"/>
          <w:sz w:val="32"/>
          <w:szCs w:val="32"/>
        </w:rPr>
        <w:t xml:space="preserve">  </w:t>
      </w:r>
      <w:r>
        <w:rPr>
          <w:rStyle w:val="19"/>
          <w:rFonts w:hint="eastAsia" w:hAnsi="????_GBK"/>
          <w:sz w:val="32"/>
          <w:szCs w:val="32"/>
        </w:rPr>
        <w:t>建立</w:t>
      </w:r>
      <w:r>
        <w:rPr>
          <w:rStyle w:val="19"/>
          <w:rFonts w:hint="eastAsia" w:hAnsi="????_GBK" w:eastAsia="仿宋_GB2312"/>
          <w:sz w:val="32"/>
          <w:szCs w:val="32"/>
          <w:lang w:eastAsia="zh-CN"/>
        </w:rPr>
        <w:t>福彩</w:t>
      </w:r>
      <w:r>
        <w:rPr>
          <w:rStyle w:val="19"/>
          <w:rFonts w:hint="eastAsia" w:hAnsi="????_GBK"/>
          <w:sz w:val="32"/>
          <w:szCs w:val="32"/>
        </w:rPr>
        <w:t>公益金使用督查制度。</w:t>
      </w:r>
      <w:r>
        <w:rPr>
          <w:rStyle w:val="19"/>
          <w:rFonts w:hint="eastAsia" w:hAnsi="????_GBK" w:eastAsia="仿宋_GB2312"/>
          <w:sz w:val="32"/>
          <w:szCs w:val="32"/>
          <w:lang w:eastAsia="zh-CN"/>
        </w:rPr>
        <w:t>市局组成联合工作组，</w:t>
      </w:r>
      <w:r>
        <w:rPr>
          <w:rStyle w:val="19"/>
          <w:rFonts w:hint="eastAsia" w:hAnsi="????_GBK"/>
          <w:sz w:val="32"/>
          <w:szCs w:val="32"/>
        </w:rPr>
        <w:t>每年定期不定期对</w:t>
      </w:r>
      <w:r>
        <w:rPr>
          <w:rStyle w:val="19"/>
          <w:rFonts w:hint="eastAsia" w:hAnsi="????_GBK" w:eastAsia="仿宋_GB2312"/>
          <w:sz w:val="32"/>
          <w:szCs w:val="32"/>
          <w:lang w:eastAsia="zh-CN"/>
        </w:rPr>
        <w:t>福彩</w:t>
      </w:r>
      <w:r>
        <w:rPr>
          <w:rStyle w:val="19"/>
          <w:rFonts w:hint="eastAsia" w:hAnsi="????_GBK"/>
          <w:sz w:val="32"/>
          <w:szCs w:val="32"/>
        </w:rPr>
        <w:t>公益金使用管理情况进行督查。督查内容包括：项目立项、预算申请、资金拨付和使用、政府采购、政府购买服务、资金使用绩效、信息公开和宣传情况等。督查方式包括：第三方审计机构财务审计、实地查验档案资料、约谈单位负责人、访谈、电话抽查等。</w:t>
      </w:r>
    </w:p>
    <w:p>
      <w:pPr>
        <w:spacing w:line="600" w:lineRule="exact"/>
        <w:ind w:firstLine="640" w:firstLineChars="200"/>
        <w:rPr>
          <w:rFonts w:ascii="仿宋_GB2312" w:hAnsi="Arial" w:eastAsia="仿宋_GB2312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第四十三条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福彩公益金预算编制、管理和使用应当主动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接受</w:t>
      </w:r>
      <w:r>
        <w:rPr>
          <w:rFonts w:hint="eastAsia" w:ascii="仿宋_GB2312" w:hAnsi="Arial" w:eastAsia="仿宋_GB2312" w:cs="仿宋_GB2312"/>
          <w:kern w:val="0"/>
          <w:sz w:val="32"/>
          <w:szCs w:val="32"/>
        </w:rPr>
        <w:t>人大、党委纪委、审计、财政等部门的审计检查和社会监督。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第四十四条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福彩公益金实行负面清单制度，对单位和个人弄虚作假、冒领骗取等失信失范行为进行记录和惩戒。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sz w:val="32"/>
          <w:szCs w:val="32"/>
        </w:rPr>
        <w:t>第四十五条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对福彩公益金申报、使用和管理工作中出现的违法违纪违规行为，依照《财政违法行为处罚处分条例》等规定处理。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第九章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则</w:t>
      </w: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????_GBK" w:eastAsia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第四十六条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其他未尽事宜，按照相关法律法规和制度执行。本办法由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  <w:lang w:eastAsia="zh-CN"/>
        </w:rPr>
        <w:t>财务核算中心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负责解释。</w:t>
      </w:r>
    </w:p>
    <w:p>
      <w:pPr>
        <w:spacing w:line="600" w:lineRule="exact"/>
        <w:ind w:firstLine="640" w:firstLineChars="200"/>
        <w:rPr>
          <w:rStyle w:val="16"/>
          <w:rFonts w:cs="Times New Roman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第四十七条</w:t>
      </w:r>
      <w:r>
        <w:rPr>
          <w:rFonts w:ascii="仿宋_GB2312" w:hAnsi="????_GBK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????_GBK" w:eastAsia="仿宋_GB2312" w:cs="仿宋_GB2312"/>
          <w:color w:val="000000"/>
          <w:kern w:val="0"/>
          <w:sz w:val="32"/>
          <w:szCs w:val="32"/>
        </w:rPr>
        <w:t>本办法自发布之日起施行。</w:t>
      </w:r>
    </w:p>
    <w:sectPr>
      <w:footerReference r:id="rId3" w:type="default"/>
      <w:pgSz w:w="11906" w:h="16838"/>
      <w:pgMar w:top="1440" w:right="1701" w:bottom="1440" w:left="170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ODIzYTk0NGE0ODY2ZGM2ODMyNzQwODYxNGFlZTIifQ=="/>
  </w:docVars>
  <w:rsids>
    <w:rsidRoot w:val="00581FBF"/>
    <w:rsid w:val="00040B3C"/>
    <w:rsid w:val="00043D85"/>
    <w:rsid w:val="00045E8A"/>
    <w:rsid w:val="00051773"/>
    <w:rsid w:val="000628CE"/>
    <w:rsid w:val="00063E75"/>
    <w:rsid w:val="0010030D"/>
    <w:rsid w:val="0010612A"/>
    <w:rsid w:val="001238BD"/>
    <w:rsid w:val="00125D80"/>
    <w:rsid w:val="00141FC5"/>
    <w:rsid w:val="00150BFC"/>
    <w:rsid w:val="00162912"/>
    <w:rsid w:val="001C78E7"/>
    <w:rsid w:val="001E4BE6"/>
    <w:rsid w:val="001F29B5"/>
    <w:rsid w:val="002036C8"/>
    <w:rsid w:val="00222538"/>
    <w:rsid w:val="0022625D"/>
    <w:rsid w:val="00287F87"/>
    <w:rsid w:val="002B2AD0"/>
    <w:rsid w:val="002D047E"/>
    <w:rsid w:val="002D5B5F"/>
    <w:rsid w:val="00304C27"/>
    <w:rsid w:val="003066BB"/>
    <w:rsid w:val="00312932"/>
    <w:rsid w:val="00327D3D"/>
    <w:rsid w:val="00366B39"/>
    <w:rsid w:val="00397429"/>
    <w:rsid w:val="003E549C"/>
    <w:rsid w:val="00402766"/>
    <w:rsid w:val="00444AF2"/>
    <w:rsid w:val="00494A34"/>
    <w:rsid w:val="004A0D66"/>
    <w:rsid w:val="004A1CF0"/>
    <w:rsid w:val="004A7B71"/>
    <w:rsid w:val="004B4B7B"/>
    <w:rsid w:val="004C1EF4"/>
    <w:rsid w:val="004C2806"/>
    <w:rsid w:val="004E7FD5"/>
    <w:rsid w:val="004F79D6"/>
    <w:rsid w:val="005150F4"/>
    <w:rsid w:val="0053797B"/>
    <w:rsid w:val="0056520D"/>
    <w:rsid w:val="00581FBF"/>
    <w:rsid w:val="0059137A"/>
    <w:rsid w:val="005A765E"/>
    <w:rsid w:val="005E0BA0"/>
    <w:rsid w:val="006047A9"/>
    <w:rsid w:val="00625DC2"/>
    <w:rsid w:val="00631B6D"/>
    <w:rsid w:val="00691EFB"/>
    <w:rsid w:val="006C379F"/>
    <w:rsid w:val="006C75E1"/>
    <w:rsid w:val="007208EA"/>
    <w:rsid w:val="00723308"/>
    <w:rsid w:val="00741634"/>
    <w:rsid w:val="00781395"/>
    <w:rsid w:val="00791142"/>
    <w:rsid w:val="007924D6"/>
    <w:rsid w:val="00800AF2"/>
    <w:rsid w:val="0083498F"/>
    <w:rsid w:val="0085142A"/>
    <w:rsid w:val="00872CF2"/>
    <w:rsid w:val="00877CD4"/>
    <w:rsid w:val="008C599B"/>
    <w:rsid w:val="008D321C"/>
    <w:rsid w:val="0090285C"/>
    <w:rsid w:val="009C646D"/>
    <w:rsid w:val="009D47ED"/>
    <w:rsid w:val="009F1DF8"/>
    <w:rsid w:val="009F49AC"/>
    <w:rsid w:val="00A235EF"/>
    <w:rsid w:val="00A46110"/>
    <w:rsid w:val="00A71620"/>
    <w:rsid w:val="00A76D55"/>
    <w:rsid w:val="00A87308"/>
    <w:rsid w:val="00AA1DF1"/>
    <w:rsid w:val="00AB1029"/>
    <w:rsid w:val="00AC7DE9"/>
    <w:rsid w:val="00AD62E0"/>
    <w:rsid w:val="00AD76B9"/>
    <w:rsid w:val="00AE2BDC"/>
    <w:rsid w:val="00B148B5"/>
    <w:rsid w:val="00B5474C"/>
    <w:rsid w:val="00B60630"/>
    <w:rsid w:val="00C23C26"/>
    <w:rsid w:val="00C30E10"/>
    <w:rsid w:val="00C353C7"/>
    <w:rsid w:val="00C66421"/>
    <w:rsid w:val="00C676F0"/>
    <w:rsid w:val="00C91764"/>
    <w:rsid w:val="00CA2324"/>
    <w:rsid w:val="00CB1CE2"/>
    <w:rsid w:val="00CB2EF1"/>
    <w:rsid w:val="00CB4408"/>
    <w:rsid w:val="00CC00AE"/>
    <w:rsid w:val="00CE120A"/>
    <w:rsid w:val="00CE7C5F"/>
    <w:rsid w:val="00D22827"/>
    <w:rsid w:val="00D70D77"/>
    <w:rsid w:val="00D841C9"/>
    <w:rsid w:val="00DD062B"/>
    <w:rsid w:val="00DD38F8"/>
    <w:rsid w:val="00DD598A"/>
    <w:rsid w:val="00E17EAF"/>
    <w:rsid w:val="00E4747E"/>
    <w:rsid w:val="00E56580"/>
    <w:rsid w:val="00E71C85"/>
    <w:rsid w:val="00ED5CF1"/>
    <w:rsid w:val="00F1118F"/>
    <w:rsid w:val="00F234D0"/>
    <w:rsid w:val="00F766F8"/>
    <w:rsid w:val="00F90CCE"/>
    <w:rsid w:val="00FA6E61"/>
    <w:rsid w:val="00FC79F3"/>
    <w:rsid w:val="00FF736D"/>
    <w:rsid w:val="015D3AF5"/>
    <w:rsid w:val="021765A2"/>
    <w:rsid w:val="077400AA"/>
    <w:rsid w:val="082054C1"/>
    <w:rsid w:val="0EB07B09"/>
    <w:rsid w:val="132F5D0C"/>
    <w:rsid w:val="13526F85"/>
    <w:rsid w:val="17837D3D"/>
    <w:rsid w:val="1D75135A"/>
    <w:rsid w:val="20C44A23"/>
    <w:rsid w:val="21484316"/>
    <w:rsid w:val="227114FF"/>
    <w:rsid w:val="29173E60"/>
    <w:rsid w:val="29B152B5"/>
    <w:rsid w:val="29E66B25"/>
    <w:rsid w:val="30E233C0"/>
    <w:rsid w:val="33027DB2"/>
    <w:rsid w:val="3AED68B7"/>
    <w:rsid w:val="3AF54A5A"/>
    <w:rsid w:val="3C225DDD"/>
    <w:rsid w:val="3E170180"/>
    <w:rsid w:val="3EFE69D5"/>
    <w:rsid w:val="40637370"/>
    <w:rsid w:val="417B72C9"/>
    <w:rsid w:val="41F648EF"/>
    <w:rsid w:val="42EA7049"/>
    <w:rsid w:val="4637496D"/>
    <w:rsid w:val="47444D8B"/>
    <w:rsid w:val="474B2AD2"/>
    <w:rsid w:val="49C57162"/>
    <w:rsid w:val="4B3435E4"/>
    <w:rsid w:val="4C216F8A"/>
    <w:rsid w:val="4D30652E"/>
    <w:rsid w:val="54894587"/>
    <w:rsid w:val="56C2272C"/>
    <w:rsid w:val="5D2C4E01"/>
    <w:rsid w:val="5EAA3E5E"/>
    <w:rsid w:val="5EE8418C"/>
    <w:rsid w:val="61037DCA"/>
    <w:rsid w:val="62132E67"/>
    <w:rsid w:val="64D13B63"/>
    <w:rsid w:val="6A9331B2"/>
    <w:rsid w:val="6E725E9C"/>
    <w:rsid w:val="702C03B8"/>
    <w:rsid w:val="70F07924"/>
    <w:rsid w:val="74DD4400"/>
    <w:rsid w:val="75074C69"/>
    <w:rsid w:val="77B60375"/>
    <w:rsid w:val="78C265BC"/>
    <w:rsid w:val="79A7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qFormat/>
    <w:uiPriority w:val="99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4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5">
    <w:name w:val="16"/>
    <w:qFormat/>
    <w:uiPriority w:val="99"/>
    <w:rPr>
      <w:rFonts w:ascii="宋体" w:hAnsi="宋体" w:eastAsia="宋体" w:cs="宋体"/>
      <w:color w:val="000000"/>
      <w:sz w:val="28"/>
      <w:szCs w:val="28"/>
    </w:rPr>
  </w:style>
  <w:style w:type="character" w:customStyle="1" w:styleId="16">
    <w:name w:val="17"/>
    <w:qFormat/>
    <w:uiPriority w:val="99"/>
    <w:rPr>
      <w:rFonts w:ascii="仿宋_GB2312" w:eastAsia="仿宋_GB2312" w:cs="仿宋_GB2312"/>
      <w:color w:val="000000"/>
      <w:sz w:val="28"/>
      <w:szCs w:val="28"/>
    </w:rPr>
  </w:style>
  <w:style w:type="character" w:customStyle="1" w:styleId="17">
    <w:name w:val="apple-converted-space"/>
    <w:basedOn w:val="9"/>
    <w:qFormat/>
    <w:uiPriority w:val="99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font81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批注文字 Char"/>
    <w:basedOn w:val="9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21">
    <w:name w:val="批注主题 Char"/>
    <w:basedOn w:val="20"/>
    <w:link w:val="7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5513</Words>
  <Characters>5526</Characters>
  <Lines>42</Lines>
  <Paragraphs>11</Paragraphs>
  <TotalTime>176</TotalTime>
  <ScaleCrop>false</ScaleCrop>
  <LinksUpToDate>false</LinksUpToDate>
  <CharactersWithSpaces>5651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2018-10-10T16:46:00Z</dcterms:created>
  <dc:creator>yuxiaoyuan</dc:creator>
  <cp:lastModifiedBy>lenovo</cp:lastModifiedBy>
  <cp:lastPrinted>2019-10-30T07:59:00Z</cp:lastPrinted>
  <dcterms:modified xsi:type="dcterms:W3CDTF">2022-12-07T01:35:05Z</dcterms:modified>
  <dc:title>山东省民政厅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97AE1E170D9A4C4C89059655FC61BC01</vt:lpwstr>
  </property>
</Properties>
</file>