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6BAB8">
      <w:pPr>
        <w:widowControl/>
        <w:jc w:val="center"/>
        <w:rPr>
          <w:rFonts w:hint="eastAsia" w:ascii="仿宋_GB2312" w:hAnsi="仿宋_GB2312" w:eastAsia="仿宋_GB2312" w:cs="仿宋_GB2312"/>
          <w:kern w:val="0"/>
          <w:sz w:val="32"/>
          <w:szCs w:val="32"/>
        </w:rPr>
      </w:pPr>
    </w:p>
    <w:p w14:paraId="5A1F210F">
      <w:pPr>
        <w:widowControl/>
        <w:jc w:val="center"/>
        <w:rPr>
          <w:rFonts w:hint="eastAsia" w:ascii="仿宋_GB2312" w:hAnsi="仿宋_GB2312" w:eastAsia="仿宋_GB2312" w:cs="仿宋_GB2312"/>
          <w:spacing w:val="20"/>
          <w:kern w:val="0"/>
          <w:sz w:val="32"/>
          <w:szCs w:val="32"/>
          <w:lang w:val="en-US" w:eastAsia="zh-CN"/>
        </w:rPr>
      </w:pPr>
      <w:r>
        <w:rPr>
          <w:rFonts w:hint="eastAsia" w:ascii="仿宋_GB2312" w:hAnsi="仿宋_GB2312" w:eastAsia="仿宋_GB2312" w:cs="仿宋_GB2312"/>
          <w:kern w:val="0"/>
          <w:sz w:val="32"/>
          <w:szCs w:val="32"/>
        </w:rPr>
        <w:t>滕教</w:t>
      </w:r>
      <w:r>
        <w:rPr>
          <w:rFonts w:hint="eastAsia" w:ascii="仿宋_GB2312" w:hAnsi="仿宋_GB2312" w:eastAsia="仿宋_GB2312" w:cs="仿宋_GB2312"/>
          <w:kern w:val="0"/>
          <w:sz w:val="32"/>
          <w:szCs w:val="32"/>
          <w:lang w:eastAsia="zh-CN"/>
        </w:rPr>
        <w:t>体发</w:t>
      </w:r>
      <w:r>
        <w:rPr>
          <w:rFonts w:hint="eastAsia" w:ascii="仿宋_GB2312" w:hAnsi="仿宋_GB2312" w:eastAsia="仿宋_GB2312" w:cs="仿宋_GB2312"/>
          <w:spacing w:val="20"/>
          <w:kern w:val="0"/>
          <w:sz w:val="32"/>
          <w:szCs w:val="32"/>
        </w:rPr>
        <w:t>〔20</w:t>
      </w:r>
      <w:r>
        <w:rPr>
          <w:rFonts w:hint="eastAsia" w:ascii="仿宋_GB2312" w:hAnsi="仿宋_GB2312" w:eastAsia="仿宋_GB2312" w:cs="仿宋_GB2312"/>
          <w:spacing w:val="20"/>
          <w:kern w:val="0"/>
          <w:sz w:val="32"/>
          <w:szCs w:val="32"/>
          <w:lang w:val="en-US" w:eastAsia="zh-CN"/>
        </w:rPr>
        <w:t>25</w:t>
      </w:r>
      <w:r>
        <w:rPr>
          <w:rFonts w:hint="eastAsia" w:ascii="仿宋_GB2312" w:hAnsi="仿宋_GB2312" w:eastAsia="仿宋_GB2312" w:cs="仿宋_GB2312"/>
          <w:spacing w:val="20"/>
          <w:kern w:val="0"/>
          <w:sz w:val="32"/>
          <w:szCs w:val="32"/>
        </w:rPr>
        <w:t>〕</w:t>
      </w:r>
      <w:r>
        <w:rPr>
          <w:rFonts w:hint="eastAsia" w:ascii="仿宋_GB2312" w:hAnsi="仿宋_GB2312" w:eastAsia="仿宋_GB2312" w:cs="仿宋_GB2312"/>
          <w:spacing w:val="20"/>
          <w:kern w:val="0"/>
          <w:sz w:val="32"/>
          <w:szCs w:val="32"/>
          <w:lang w:val="en-US" w:eastAsia="zh-CN"/>
        </w:rPr>
        <w:t>1</w:t>
      </w:r>
      <w:r>
        <w:rPr>
          <w:rFonts w:hint="eastAsia" w:ascii="仿宋_GB2312" w:hAnsi="仿宋_GB2312" w:eastAsia="仿宋_GB2312" w:cs="仿宋_GB2312"/>
          <w:spacing w:val="20"/>
          <w:kern w:val="0"/>
          <w:sz w:val="32"/>
          <w:szCs w:val="32"/>
        </w:rPr>
        <w:t>号</w:t>
      </w:r>
    </w:p>
    <w:p w14:paraId="624B4EE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Times New Roman" w:hAnsi="Times New Roman" w:eastAsia="宋体" w:cs="Times New Roman"/>
          <w:kern w:val="0"/>
          <w:sz w:val="32"/>
          <w:szCs w:val="20"/>
        </w:rPr>
      </w:pPr>
    </w:p>
    <w:p w14:paraId="366206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sz w:val="32"/>
          <w:szCs w:val="32"/>
        </w:rPr>
      </w:pPr>
    </w:p>
    <w:p w14:paraId="280A4BA6">
      <w:pPr>
        <w:pStyle w:val="8"/>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滕州市教育和体育局</w:t>
      </w:r>
    </w:p>
    <w:p w14:paraId="4693330B">
      <w:pPr>
        <w:pStyle w:val="8"/>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w:t>
      </w:r>
      <w:bookmarkStart w:id="0" w:name="_GoBack"/>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年全市教</w:t>
      </w:r>
      <w:bookmarkEnd w:id="0"/>
      <w:r>
        <w:rPr>
          <w:rFonts w:hint="eastAsia" w:ascii="方正小标宋_GBK" w:hAnsi="方正小标宋_GBK" w:eastAsia="方正小标宋_GBK" w:cs="方正小标宋_GBK"/>
          <w:color w:val="000000"/>
          <w:sz w:val="44"/>
          <w:szCs w:val="44"/>
        </w:rPr>
        <w:t>育体育工作要点》的</w:t>
      </w:r>
    </w:p>
    <w:p w14:paraId="2D23038D">
      <w:pPr>
        <w:pStyle w:val="8"/>
        <w:ind w:firstLine="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通   知</w:t>
      </w:r>
    </w:p>
    <w:p w14:paraId="632F5ECF">
      <w:pPr>
        <w:spacing w:line="560" w:lineRule="exact"/>
        <w:rPr>
          <w:rFonts w:hint="eastAsia" w:ascii="方正小标宋_GBK" w:hAnsi="方正小标宋_GBK" w:eastAsia="方正小标宋_GBK" w:cs="方正小标宋_GBK"/>
          <w:color w:val="000000"/>
          <w:sz w:val="32"/>
          <w:szCs w:val="32"/>
        </w:rPr>
      </w:pPr>
    </w:p>
    <w:p w14:paraId="4A846BC0">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各镇街学区(联区)、市直及民办学校，局机关各科室：</w:t>
      </w:r>
    </w:p>
    <w:p w14:paraId="0B2F658B">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现将《202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年全市教育体育工作要点》印发给你们，请结合实际，认真贯彻落实。</w:t>
      </w:r>
    </w:p>
    <w:p w14:paraId="247E47C9">
      <w:pPr>
        <w:spacing w:line="560" w:lineRule="exact"/>
        <w:ind w:firstLine="640" w:firstLineChars="200"/>
        <w:rPr>
          <w:rFonts w:hint="default" w:ascii="Times New Roman" w:hAnsi="Times New Roman" w:eastAsia="仿宋_GB2312" w:cs="Times New Roman"/>
          <w:color w:val="000000"/>
          <w:sz w:val="32"/>
          <w:szCs w:val="32"/>
        </w:rPr>
      </w:pPr>
    </w:p>
    <w:p w14:paraId="3C2CFABF">
      <w:pPr>
        <w:rPr>
          <w:rFonts w:hint="default" w:ascii="Times New Roman" w:hAnsi="Times New Roman" w:cs="Times New Roman"/>
          <w:color w:val="000000"/>
        </w:rPr>
      </w:pPr>
    </w:p>
    <w:p w14:paraId="494BB0BD">
      <w:pPr>
        <w:rPr>
          <w:rFonts w:hint="default" w:ascii="Times New Roman" w:hAnsi="Times New Roman" w:cs="Times New Roman"/>
          <w:color w:val="000000"/>
        </w:rPr>
      </w:pPr>
    </w:p>
    <w:p w14:paraId="00A1C4B6">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default" w:ascii="Times New Roman" w:hAnsi="Times New Roman" w:eastAsia="仿宋_GB2312" w:cs="Times New Roman"/>
          <w:color w:val="000000"/>
          <w:sz w:val="32"/>
          <w:szCs w:val="32"/>
        </w:rPr>
      </w:pPr>
    </w:p>
    <w:p w14:paraId="78451502">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滕州市教育和体育局</w:t>
      </w:r>
    </w:p>
    <w:p w14:paraId="7C3B1F4C">
      <w:pPr>
        <w:spacing w:line="560" w:lineRule="exact"/>
        <w:ind w:firstLine="5760" w:firstLineChars="18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日</w:t>
      </w:r>
    </w:p>
    <w:p w14:paraId="282E6CEF">
      <w:pPr>
        <w:pStyle w:val="8"/>
        <w:keepNext w:val="0"/>
        <w:keepLines w:val="0"/>
        <w:pageBreakBefore w:val="0"/>
        <w:widowControl w:val="0"/>
        <w:kinsoku/>
        <w:wordWrap/>
        <w:overflowPunct/>
        <w:topLinePunct w:val="0"/>
        <w:autoSpaceDE/>
        <w:autoSpaceDN/>
        <w:bidi w:val="0"/>
        <w:adjustRightInd/>
        <w:snapToGrid/>
        <w:spacing w:line="240" w:lineRule="exact"/>
        <w:ind w:firstLine="703"/>
        <w:textAlignment w:val="auto"/>
        <w:rPr>
          <w:rFonts w:hint="eastAsia" w:ascii="方正小标宋_GBK" w:hAnsi="方正小标宋_GBK" w:eastAsia="方正小标宋_GBK" w:cs="方正小标宋_GBK"/>
          <w:color w:val="000000"/>
        </w:rPr>
      </w:pPr>
      <w:r>
        <w:rPr>
          <w:color w:val="000000"/>
        </w:rPr>
        <w:br w:type="page"/>
      </w:r>
    </w:p>
    <w:p w14:paraId="2D9056FB">
      <w:pPr>
        <w:spacing w:line="560" w:lineRule="exact"/>
        <w:jc w:val="center"/>
        <w:rPr>
          <w:rFonts w:hint="eastAsia" w:ascii="方正小标宋_GBK" w:hAnsi="方正小标宋_GBK" w:eastAsia="方正小标宋_GBK" w:cs="方正小标宋_GBK"/>
          <w:color w:val="000000"/>
          <w:sz w:val="44"/>
          <w:szCs w:val="44"/>
        </w:rPr>
      </w:pPr>
    </w:p>
    <w:p w14:paraId="24614E7B">
      <w:pPr>
        <w:spacing w:line="56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5</w:t>
      </w:r>
      <w:r>
        <w:rPr>
          <w:rFonts w:hint="eastAsia" w:ascii="方正小标宋_GBK" w:hAnsi="方正小标宋_GBK" w:eastAsia="方正小标宋_GBK" w:cs="方正小标宋_GBK"/>
          <w:color w:val="000000"/>
          <w:sz w:val="44"/>
          <w:szCs w:val="44"/>
        </w:rPr>
        <w:t>年全市教育体育工作要点</w:t>
      </w:r>
    </w:p>
    <w:p w14:paraId="2D90C646">
      <w:pPr>
        <w:spacing w:line="560" w:lineRule="exact"/>
        <w:rPr>
          <w:rFonts w:hint="eastAsia" w:ascii="方正小标宋_GBK" w:hAnsi="方正小标宋_GBK" w:eastAsia="方正小标宋_GBK" w:cs="方正小标宋_GBK"/>
          <w:color w:val="000000"/>
          <w:sz w:val="32"/>
          <w:szCs w:val="32"/>
        </w:rPr>
      </w:pPr>
    </w:p>
    <w:p w14:paraId="5E85A3E1">
      <w:pPr>
        <w:pStyle w:val="8"/>
        <w:spacing w:line="560" w:lineRule="exact"/>
        <w:ind w:firstLine="640" w:firstLineChars="200"/>
        <w:rPr>
          <w:rFonts w:ascii="Times New Roman"/>
          <w:sz w:val="32"/>
          <w:szCs w:val="32"/>
        </w:rPr>
      </w:pPr>
      <w:r>
        <w:rPr>
          <w:rFonts w:ascii="Times New Roman"/>
          <w:sz w:val="32"/>
          <w:szCs w:val="32"/>
        </w:rPr>
        <w:t>2025年是“十四五”规划收官之年，是“十五五”规划布局之年，是落实全国、全省教育大会精神的开局之年。今年总体工作的要求是：</w:t>
      </w:r>
      <w:r>
        <w:rPr>
          <w:rFonts w:ascii="Times New Roman" w:eastAsia="黑体"/>
          <w:sz w:val="32"/>
          <w:szCs w:val="32"/>
        </w:rPr>
        <w:t>以习近平新时代中国特色社会主义思想为指导，坚持稳中求进、以进促稳，守正创新、先立后破，系统集成、协同配合，落实立德树人根本任务，实施教育扩优提质行动，盯紧“1263”工作思路，锚定“双五”目标，聚焦“六声”教育，聚力“三名工程”，持续深化学生全面培养、教育教学评价、教育服务改革，加快推进教育高质量发展，把“善城善教、学在滕州”品牌擦得更亮，</w:t>
      </w:r>
      <w:r>
        <w:rPr>
          <w:rFonts w:ascii="Times New Roman" w:eastAsia="黑体"/>
          <w:snapToGrid w:val="0"/>
          <w:spacing w:val="-6"/>
          <w:kern w:val="32"/>
          <w:sz w:val="32"/>
          <w:szCs w:val="32"/>
        </w:rPr>
        <w:t>为加快建设“中华善城</w:t>
      </w:r>
      <w:r>
        <w:rPr>
          <w:rFonts w:hint="eastAsia" w:ascii="Times New Roman" w:eastAsia="黑体"/>
          <w:snapToGrid w:val="0"/>
          <w:spacing w:val="-6"/>
          <w:kern w:val="32"/>
          <w:sz w:val="32"/>
          <w:szCs w:val="32"/>
        </w:rPr>
        <w:t>、</w:t>
      </w:r>
      <w:r>
        <w:rPr>
          <w:rFonts w:ascii="Times New Roman" w:eastAsia="黑体"/>
          <w:snapToGrid w:val="0"/>
          <w:spacing w:val="-6"/>
          <w:kern w:val="32"/>
          <w:sz w:val="32"/>
          <w:szCs w:val="32"/>
        </w:rPr>
        <w:t>现代滕州”贡献教育更大力量</w:t>
      </w:r>
      <w:r>
        <w:rPr>
          <w:rFonts w:ascii="Times New Roman" w:eastAsia="黑体"/>
          <w:sz w:val="32"/>
          <w:szCs w:val="32"/>
        </w:rPr>
        <w:t>。</w:t>
      </w:r>
    </w:p>
    <w:p w14:paraId="079514B1">
      <w:pPr>
        <w:pStyle w:val="8"/>
        <w:spacing w:line="560" w:lineRule="exact"/>
        <w:ind w:firstLine="640" w:firstLineChars="200"/>
        <w:rPr>
          <w:rFonts w:ascii="Times New Roman" w:eastAsia="黑体"/>
          <w:kern w:val="0"/>
          <w:sz w:val="32"/>
          <w:szCs w:val="32"/>
        </w:rPr>
      </w:pPr>
      <w:r>
        <w:rPr>
          <w:rFonts w:ascii="Times New Roman" w:eastAsia="黑体"/>
          <w:kern w:val="0"/>
          <w:sz w:val="32"/>
          <w:szCs w:val="32"/>
        </w:rPr>
        <w:t>一、坚持党建兴教，高站位推进教育体育工作高质发展</w:t>
      </w:r>
    </w:p>
    <w:p w14:paraId="15E5C216">
      <w:pPr>
        <w:pStyle w:val="8"/>
        <w:spacing w:line="560" w:lineRule="exact"/>
        <w:ind w:firstLine="640" w:firstLineChars="200"/>
        <w:rPr>
          <w:rFonts w:ascii="Times New Roman"/>
          <w:bCs/>
          <w:color w:val="auto"/>
          <w:sz w:val="32"/>
          <w:szCs w:val="32"/>
        </w:rPr>
      </w:pPr>
      <w:r>
        <w:rPr>
          <w:rFonts w:ascii="Times New Roman" w:eastAsia="楷体_GB2312"/>
          <w:bCs/>
          <w:color w:val="auto"/>
          <w:sz w:val="32"/>
          <w:szCs w:val="32"/>
        </w:rPr>
        <w:t>1.筑牢党建引领根基。</w:t>
      </w:r>
      <w:r>
        <w:rPr>
          <w:rFonts w:ascii="Times New Roman"/>
          <w:color w:val="auto"/>
          <w:sz w:val="32"/>
          <w:szCs w:val="32"/>
        </w:rPr>
        <w:t>切实加强党对教育体育工作的全面领导，树牢党建主业意识，从严从实健全党建责任体系，以“抓好党建是本职，不抓党建是失职”的理念，确立基层党建全面进步、过硬的总目标。对基层党组织书记抓党建情况，实行一月一调度。通过跟踪督查、实地观摩、述职评议及末位问责等，压实责任，确保基层党组织书记把主要精力放在以党建助推业务提升上。</w:t>
      </w:r>
    </w:p>
    <w:p w14:paraId="1DFD79E3">
      <w:pPr>
        <w:spacing w:line="560" w:lineRule="exact"/>
        <w:ind w:firstLine="640" w:firstLineChars="200"/>
        <w:rPr>
          <w:rFonts w:eastAsia="仿宋_GB2312"/>
          <w:bCs/>
          <w:sz w:val="32"/>
          <w:szCs w:val="32"/>
        </w:rPr>
      </w:pPr>
      <w:r>
        <w:rPr>
          <w:rFonts w:eastAsia="楷体_GB2312"/>
          <w:bCs/>
          <w:sz w:val="32"/>
          <w:szCs w:val="32"/>
        </w:rPr>
        <w:t>2.夯实学习教育基础。</w:t>
      </w:r>
      <w:r>
        <w:rPr>
          <w:rFonts w:eastAsia="仿宋_GB2312"/>
          <w:sz w:val="32"/>
          <w:szCs w:val="32"/>
        </w:rPr>
        <w:t>聚焦重点任务，</w:t>
      </w:r>
      <w:r>
        <w:rPr>
          <w:rFonts w:eastAsia="仿宋_GB2312"/>
          <w:bCs/>
          <w:sz w:val="32"/>
          <w:szCs w:val="32"/>
        </w:rPr>
        <w:t>持续</w:t>
      </w:r>
      <w:r>
        <w:rPr>
          <w:rFonts w:eastAsia="仿宋_GB2312"/>
          <w:snapToGrid w:val="0"/>
          <w:sz w:val="32"/>
          <w:szCs w:val="32"/>
        </w:rPr>
        <w:t>巩固党纪学习教育成果，</w:t>
      </w:r>
      <w:r>
        <w:rPr>
          <w:rFonts w:eastAsia="仿宋_GB2312"/>
          <w:sz w:val="32"/>
          <w:szCs w:val="32"/>
        </w:rPr>
        <w:t>建立经常性和集中性相结合的教育机制，发挥教育约束、保障激励的综合作用，确保基层组织生活的严肃性和规范化。开展“党建引领强师德 枣教先锋育新人”主题系列活动，强化</w:t>
      </w:r>
      <w:r>
        <w:rPr>
          <w:rFonts w:eastAsia="仿宋_GB2312"/>
          <w:bCs/>
          <w:sz w:val="32"/>
          <w:szCs w:val="32"/>
        </w:rPr>
        <w:t>党建铸魂，落实立德树人根本任务。</w:t>
      </w:r>
    </w:p>
    <w:p w14:paraId="35E9629A">
      <w:pPr>
        <w:spacing w:line="560" w:lineRule="exact"/>
        <w:ind w:firstLine="640" w:firstLineChars="200"/>
        <w:rPr>
          <w:rFonts w:eastAsia="仿宋_GB2312"/>
          <w:sz w:val="32"/>
          <w:szCs w:val="32"/>
        </w:rPr>
      </w:pPr>
      <w:r>
        <w:rPr>
          <w:rFonts w:eastAsia="楷体_GB2312"/>
          <w:bCs/>
          <w:sz w:val="32"/>
          <w:szCs w:val="32"/>
        </w:rPr>
        <w:t>3.聚焦重点突破关键。</w:t>
      </w:r>
      <w:r>
        <w:rPr>
          <w:rFonts w:eastAsia="仿宋_GB2312"/>
          <w:sz w:val="32"/>
          <w:szCs w:val="32"/>
        </w:rPr>
        <w:t>深化“党建+”引领，推进实施“党建青蓝工程”，建立党建结对帮扶机制</w:t>
      </w:r>
      <w:r>
        <w:rPr>
          <w:rFonts w:eastAsia="仿宋_GB2312"/>
          <w:snapToGrid w:val="0"/>
          <w:sz w:val="32"/>
          <w:szCs w:val="32"/>
        </w:rPr>
        <w:t>，</w:t>
      </w:r>
      <w:r>
        <w:rPr>
          <w:rFonts w:eastAsia="仿宋_GB2312"/>
          <w:sz w:val="32"/>
          <w:szCs w:val="32"/>
        </w:rPr>
        <w:t>补齐农村薄弱学校与民办学校党建工作短板。全方位推动党建与教育教学工作互促共融，加速省、市级党建品牌示范校创建，争创省级4处、枣庄市级15处，带动全市中小学校党组织标准化、规范化建设水平再提升。</w:t>
      </w:r>
    </w:p>
    <w:p w14:paraId="4702B8B6">
      <w:pPr>
        <w:spacing w:line="560" w:lineRule="exact"/>
        <w:ind w:firstLine="640" w:firstLineChars="200"/>
        <w:contextualSpacing/>
        <w:rPr>
          <w:rFonts w:eastAsia="仿宋_GB2312"/>
          <w:sz w:val="32"/>
          <w:szCs w:val="32"/>
        </w:rPr>
      </w:pPr>
      <w:r>
        <w:rPr>
          <w:rFonts w:eastAsia="楷体_GB2312"/>
          <w:sz w:val="32"/>
          <w:szCs w:val="32"/>
        </w:rPr>
        <w:t>4.守牢意识形态阵地。</w:t>
      </w:r>
      <w:r>
        <w:rPr>
          <w:rFonts w:eastAsia="仿宋_GB2312"/>
          <w:sz w:val="32"/>
          <w:szCs w:val="32"/>
        </w:rPr>
        <w:t>严格落实意识形态工作责任制，压紧压实主体责任，强化政治引领、履职尽责、联防联控，筑牢风险防范屏障，健全教育舆情监测、报告、处置机制，及时回应群众关切。加强新闻宣传，把握正确舆论导向，打造三级联动立体化宣传格局，展示教育体育成绩亮点，讲好教育故事，推动教育正能量实现大流量，进一步扩大“善城善教、学在滕州”教育品牌影响力和公信力。</w:t>
      </w:r>
    </w:p>
    <w:p w14:paraId="001E3040">
      <w:pPr>
        <w:pStyle w:val="8"/>
        <w:spacing w:line="560" w:lineRule="exact"/>
        <w:ind w:firstLine="640" w:firstLineChars="200"/>
        <w:rPr>
          <w:rFonts w:ascii="Times New Roman"/>
          <w:color w:val="auto"/>
          <w:sz w:val="32"/>
          <w:szCs w:val="32"/>
        </w:rPr>
      </w:pPr>
      <w:r>
        <w:rPr>
          <w:rFonts w:ascii="Times New Roman" w:eastAsia="楷体_GB2312"/>
          <w:bCs/>
          <w:color w:val="auto"/>
          <w:sz w:val="32"/>
          <w:szCs w:val="32"/>
        </w:rPr>
        <w:t>5.严抓正风肃纪工作。</w:t>
      </w:r>
      <w:r>
        <w:rPr>
          <w:rFonts w:ascii="Times New Roman"/>
          <w:color w:val="auto"/>
          <w:sz w:val="32"/>
          <w:szCs w:val="32"/>
        </w:rPr>
        <w:t>加强党纪法规和反腐倡廉教育，营造崇廉拒腐氛围。常态化整治“校园餐”管理、教辅征订、师德师风等重点领域廉洁问题，强化制度执行监督，积极回应群众关切，巩固整治成果。加大案件查处力度，认真落实“三个区分开来”，依法依规处理违规违纪问题，做到有案必查、查实必究，强化“一案双查”，形成监督执纪问责强大威慑。</w:t>
      </w:r>
    </w:p>
    <w:p w14:paraId="114095CB">
      <w:pPr>
        <w:pStyle w:val="8"/>
        <w:spacing w:line="560" w:lineRule="exact"/>
        <w:ind w:firstLine="616" w:firstLineChars="200"/>
        <w:rPr>
          <w:rFonts w:ascii="Times New Roman" w:eastAsia="黑体"/>
          <w:color w:val="auto"/>
          <w:spacing w:val="-6"/>
          <w:kern w:val="0"/>
          <w:sz w:val="32"/>
          <w:szCs w:val="32"/>
        </w:rPr>
      </w:pPr>
      <w:r>
        <w:rPr>
          <w:rFonts w:ascii="Times New Roman" w:eastAsia="黑体"/>
          <w:color w:val="auto"/>
          <w:spacing w:val="-6"/>
          <w:kern w:val="0"/>
          <w:sz w:val="32"/>
          <w:szCs w:val="32"/>
        </w:rPr>
        <w:t>二、坚持五育融合，高标准推进“六声”教育走深走实</w:t>
      </w:r>
    </w:p>
    <w:p w14:paraId="23554DB2">
      <w:pPr>
        <w:spacing w:line="560" w:lineRule="exact"/>
        <w:ind w:firstLine="640" w:firstLineChars="200"/>
        <w:rPr>
          <w:rFonts w:eastAsia="仿宋_GB2312"/>
          <w:kern w:val="0"/>
          <w:sz w:val="32"/>
          <w:szCs w:val="32"/>
        </w:rPr>
      </w:pPr>
      <w:r>
        <w:rPr>
          <w:rFonts w:eastAsia="楷体_GB2312"/>
          <w:snapToGrid w:val="0"/>
          <w:sz w:val="32"/>
          <w:szCs w:val="32"/>
        </w:rPr>
        <w:t>6.增强思政德育工作效能</w:t>
      </w:r>
      <w:r>
        <w:rPr>
          <w:rFonts w:eastAsia="楷体_GB2312"/>
          <w:b/>
          <w:bCs/>
          <w:snapToGrid w:val="0"/>
          <w:sz w:val="32"/>
          <w:szCs w:val="32"/>
        </w:rPr>
        <w:t>。</w:t>
      </w:r>
      <w:r>
        <w:rPr>
          <w:rFonts w:eastAsia="仿宋_GB2312"/>
          <w:snapToGrid w:val="0"/>
          <w:sz w:val="32"/>
          <w:szCs w:val="32"/>
        </w:rPr>
        <w:t>加强和改进新时代学校思想政治教育</w:t>
      </w:r>
      <w:r>
        <w:rPr>
          <w:snapToGrid w:val="0"/>
          <w:sz w:val="32"/>
          <w:szCs w:val="32"/>
        </w:rPr>
        <w:t>，</w:t>
      </w:r>
      <w:r>
        <w:rPr>
          <w:rFonts w:eastAsia="仿宋_GB2312"/>
          <w:snapToGrid w:val="0"/>
          <w:sz w:val="32"/>
          <w:szCs w:val="32"/>
        </w:rPr>
        <w:t>实施新时代立德树人工程，开好讲好“习近平新时代中国特色社会主义思想概论”课，深入推进中小学思政课一体化建设，用好用活本土思政资源，构筑“行走的思政课堂”；推进思政课教学改革课程研究，开展思政优质课、“金课”评选</w:t>
      </w:r>
      <w:r>
        <w:rPr>
          <w:rFonts w:hint="eastAsia" w:eastAsia="仿宋_GB2312"/>
          <w:snapToGrid w:val="0"/>
          <w:sz w:val="32"/>
          <w:szCs w:val="32"/>
        </w:rPr>
        <w:t>、</w:t>
      </w:r>
      <w:r>
        <w:rPr>
          <w:rFonts w:eastAsia="仿宋_GB2312"/>
          <w:snapToGrid w:val="0"/>
          <w:sz w:val="32"/>
          <w:szCs w:val="32"/>
        </w:rPr>
        <w:t>思政课教学比赛等活动，打造一批“大思政课”品牌。开展“国学小名士”系列活动。推进国防教育示范学校的复核和创建工作，推动军队英模典型事迹进校园活动</w:t>
      </w:r>
      <w:r>
        <w:rPr>
          <w:snapToGrid w:val="0"/>
          <w:sz w:val="32"/>
          <w:szCs w:val="32"/>
        </w:rPr>
        <w:t>。</w:t>
      </w:r>
      <w:r>
        <w:rPr>
          <w:rFonts w:eastAsia="仿宋_GB2312"/>
          <w:sz w:val="32"/>
          <w:szCs w:val="32"/>
        </w:rPr>
        <w:t>实施中小学校园文化建设提升行动，</w:t>
      </w:r>
      <w:r>
        <w:rPr>
          <w:rFonts w:eastAsia="仿宋_GB2312"/>
          <w:bCs/>
          <w:sz w:val="32"/>
          <w:szCs w:val="32"/>
        </w:rPr>
        <w:t>传承善文化，</w:t>
      </w:r>
      <w:r>
        <w:rPr>
          <w:rFonts w:eastAsia="仿宋_GB2312"/>
          <w:bCs/>
          <w:kern w:val="0"/>
          <w:sz w:val="32"/>
          <w:szCs w:val="32"/>
        </w:rPr>
        <w:t>推动</w:t>
      </w:r>
      <w:r>
        <w:rPr>
          <w:rFonts w:eastAsia="仿宋_GB2312"/>
          <w:sz w:val="32"/>
          <w:szCs w:val="32"/>
        </w:rPr>
        <w:t>善教示范校建设。</w:t>
      </w:r>
      <w:r>
        <w:rPr>
          <w:rFonts w:eastAsia="仿宋_GB2312"/>
          <w:bCs/>
          <w:kern w:val="0"/>
          <w:sz w:val="32"/>
          <w:szCs w:val="32"/>
        </w:rPr>
        <w:t>组织学雷锋志愿服务活动，推进雷锋学校和铸牢中华民族共同体意识试点学校建设。</w:t>
      </w:r>
      <w:r>
        <w:rPr>
          <w:rFonts w:eastAsia="仿宋_GB2312"/>
          <w:kern w:val="0"/>
          <w:sz w:val="32"/>
          <w:szCs w:val="32"/>
        </w:rPr>
        <w:t>强化团队建设，举办团（队）员主题演讲比赛，探索建立少先队名师工作室，完善团（队）员成长激励机制，以积分入团、红领巾争章等活动，引领青少年健康成长。</w:t>
      </w:r>
    </w:p>
    <w:p w14:paraId="55198F80">
      <w:pPr>
        <w:pStyle w:val="14"/>
        <w:spacing w:after="0" w:line="560" w:lineRule="exact"/>
        <w:ind w:firstLine="640" w:firstLineChars="200"/>
        <w:rPr>
          <w:rFonts w:ascii="Times New Roman" w:hAnsi="Times New Roman"/>
          <w:snapToGrid w:val="0"/>
          <w:szCs w:val="32"/>
        </w:rPr>
      </w:pPr>
      <w:r>
        <w:rPr>
          <w:rFonts w:ascii="Times New Roman" w:hAnsi="Times New Roman" w:eastAsia="楷体_GB2312"/>
          <w:snapToGrid w:val="0"/>
          <w:szCs w:val="32"/>
        </w:rPr>
        <w:t>7.推进五育融合协调发展。</w:t>
      </w:r>
      <w:r>
        <w:rPr>
          <w:rFonts w:ascii="Times New Roman" w:hAnsi="Times New Roman"/>
          <w:snapToGrid w:val="0"/>
          <w:szCs w:val="32"/>
        </w:rPr>
        <w:t>深入实施青少年学生读书行动，构建全科阅读“四维度”推进机制，开展第三届阅读小达人、优秀阅读推广人、优秀阅读引领者评选；加强书香校园建设，推动全民阅读系列活动。推进中小学规范汉字书写工作，实施书写课堂提质、教师书写素养提升、书写教育典型学校培育、书写评价机制优化“四大行动”。实施中小学生科学素养培育“沃土计划”和科学教育“筑梦”行动，鼓励有条件的学校建设科学教育中心，引导学校探索开发科学类课程，推动跨学科、项目式学习活动开展</w:t>
      </w:r>
      <w:r>
        <w:rPr>
          <w:rFonts w:ascii="Times New Roman" w:hAnsi="Times New Roman"/>
          <w:szCs w:val="32"/>
        </w:rPr>
        <w:t>；举办首届全市科技节和科创大赛，组织科学社团现场推进会，评选科技辅导员；加强实验教学开课监管，探索建设数字化实验室。</w:t>
      </w:r>
      <w:r>
        <w:rPr>
          <w:rFonts w:ascii="Times New Roman" w:hAnsi="Times New Roman"/>
          <w:snapToGrid w:val="0"/>
          <w:szCs w:val="32"/>
        </w:rPr>
        <w:t>完善劳动教育体系建设，做好《劳动指导手册》专题培训，</w:t>
      </w:r>
      <w:r>
        <w:rPr>
          <w:rFonts w:ascii="Times New Roman" w:hAnsi="Times New Roman"/>
          <w:szCs w:val="32"/>
        </w:rPr>
        <w:t>举办“劳模大讲堂”“工匠进校园”等活动，</w:t>
      </w:r>
      <w:r>
        <w:rPr>
          <w:rFonts w:ascii="Times New Roman" w:hAnsi="Times New Roman"/>
          <w:snapToGrid w:val="0"/>
          <w:szCs w:val="32"/>
        </w:rPr>
        <w:t>组织劳动</w:t>
      </w:r>
      <w:r>
        <w:rPr>
          <w:rFonts w:ascii="Times New Roman" w:hAnsi="Times New Roman"/>
          <w:szCs w:val="32"/>
        </w:rPr>
        <w:t>教学资源评选</w:t>
      </w:r>
      <w:r>
        <w:rPr>
          <w:rFonts w:ascii="Times New Roman" w:hAnsi="Times New Roman"/>
          <w:snapToGrid w:val="0"/>
          <w:szCs w:val="32"/>
        </w:rPr>
        <w:t>。完善“作业辅导+素质拓展”课后服务机制，丰富社团种类、社团活动课程，确保“学校全动员、生生进社团、周周有活动、育人见成效”。</w:t>
      </w:r>
    </w:p>
    <w:p w14:paraId="334C597F">
      <w:pPr>
        <w:spacing w:line="560" w:lineRule="exact"/>
        <w:ind w:firstLine="640" w:firstLineChars="200"/>
        <w:rPr>
          <w:rFonts w:eastAsia="仿宋_GB2312"/>
          <w:sz w:val="32"/>
          <w:szCs w:val="32"/>
        </w:rPr>
      </w:pPr>
      <w:r>
        <w:rPr>
          <w:snapToGrid w:val="0"/>
          <w:sz w:val="32"/>
          <w:szCs w:val="32"/>
        </w:rPr>
        <w:t>8</w:t>
      </w:r>
      <w:r>
        <w:rPr>
          <w:rFonts w:eastAsia="仿宋_GB2312"/>
          <w:snapToGrid w:val="0"/>
          <w:sz w:val="32"/>
          <w:szCs w:val="32"/>
        </w:rPr>
        <w:t>.</w:t>
      </w:r>
      <w:r>
        <w:rPr>
          <w:rFonts w:eastAsia="楷体_GB2312"/>
          <w:sz w:val="32"/>
          <w:szCs w:val="32"/>
        </w:rPr>
        <w:t>推动体育工作创新发展。</w:t>
      </w:r>
      <w:r>
        <w:rPr>
          <w:rFonts w:eastAsia="仿宋_GB2312"/>
          <w:sz w:val="32"/>
          <w:szCs w:val="32"/>
        </w:rPr>
        <w:t>实施课间清空教室、体质健康促进、全员体育牵手、运动时长落实、“体育之星”激励、体育安全保障“六项行动”，确保中小学生每天综合体育活动时间不低于2小时，打造健康活力校园。充分发挥体育赛事牵引作用和特色学校示范带动作用，实施“十百千万”体育赛事活动工程。举办全市第二届中小学生运动会，将18项体育竞技项目纳入比赛范围，优先发展“三大球”和游泳项目。深化体教融合，优化实施竞技体育指导员制度，持续开展“竞技体育项目进校园”活动。实施中小学生体质强健计划，全面提升学生体育锻炼质效和体质健康水平，完善体育人才培养体系，持续打造“善城善教、善竞善成”青少年体育品牌。</w:t>
      </w:r>
    </w:p>
    <w:p w14:paraId="0AEFD7FA">
      <w:pPr>
        <w:spacing w:line="560" w:lineRule="exact"/>
        <w:ind w:firstLine="640" w:firstLineChars="200"/>
        <w:rPr>
          <w:rFonts w:eastAsia="仿宋_GB2312"/>
          <w:sz w:val="32"/>
          <w:szCs w:val="32"/>
        </w:rPr>
      </w:pPr>
      <w:r>
        <w:rPr>
          <w:rFonts w:eastAsia="楷体_GB2312"/>
          <w:snapToGrid w:val="0"/>
          <w:sz w:val="32"/>
          <w:szCs w:val="32"/>
        </w:rPr>
        <w:t>9.推进学校美育浸润行动。</w:t>
      </w:r>
      <w:r>
        <w:rPr>
          <w:rFonts w:eastAsia="仿宋_GB2312"/>
          <w:sz w:val="32"/>
          <w:szCs w:val="32"/>
        </w:rPr>
        <w:t>加强学校美育过程性评价与监督，</w:t>
      </w:r>
      <w:r>
        <w:rPr>
          <w:rFonts w:hint="eastAsia" w:eastAsia="仿宋_GB2312"/>
          <w:sz w:val="32"/>
          <w:szCs w:val="32"/>
          <w:lang w:val="en-US" w:eastAsia="zh-CN"/>
        </w:rPr>
        <w:t>做好全市中小学</w:t>
      </w:r>
      <w:r>
        <w:rPr>
          <w:rFonts w:eastAsia="仿宋_GB2312"/>
          <w:sz w:val="32"/>
          <w:szCs w:val="32"/>
        </w:rPr>
        <w:t>艺术素质测评</w:t>
      </w:r>
      <w:r>
        <w:rPr>
          <w:rFonts w:hint="eastAsia" w:eastAsia="仿宋_GB2312"/>
          <w:sz w:val="32"/>
          <w:szCs w:val="32"/>
          <w:lang w:val="en-US" w:eastAsia="zh-CN"/>
        </w:rPr>
        <w:t>上报</w:t>
      </w:r>
      <w:r>
        <w:rPr>
          <w:rFonts w:eastAsia="仿宋_GB2312"/>
          <w:sz w:val="32"/>
          <w:szCs w:val="32"/>
        </w:rPr>
        <w:t>工作。开展高水平中小学生艺术团遴选建设工作，提高全市学校艺术团建设水平。加强学校美育师资队伍建设，举行美育教师基本功展示活动。举办全市中小学生书法、绘画、手工制作、个人才艺大赛，开展全市中小学生校园艺术节合唱、戏剧专项展示等活动，形成“校校有活动、班班有项目、人人都参与”的美育实践新生态。</w:t>
      </w:r>
    </w:p>
    <w:p w14:paraId="003CA242">
      <w:pPr>
        <w:pStyle w:val="8"/>
        <w:spacing w:line="560" w:lineRule="exact"/>
        <w:ind w:firstLine="640" w:firstLineChars="200"/>
        <w:rPr>
          <w:rFonts w:ascii="Times New Roman"/>
          <w:snapToGrid w:val="0"/>
          <w:color w:val="FF0000"/>
          <w:sz w:val="32"/>
          <w:szCs w:val="32"/>
        </w:rPr>
      </w:pPr>
      <w:r>
        <w:rPr>
          <w:rFonts w:ascii="Times New Roman" w:eastAsia="楷体_GB2312"/>
          <w:snapToGrid w:val="0"/>
          <w:color w:val="auto"/>
          <w:sz w:val="32"/>
          <w:szCs w:val="32"/>
        </w:rPr>
        <w:t>10.加强学生心理健康服务。</w:t>
      </w:r>
      <w:r>
        <w:rPr>
          <w:rFonts w:ascii="Times New Roman"/>
          <w:snapToGrid w:val="0"/>
          <w:color w:val="auto"/>
          <w:sz w:val="32"/>
          <w:szCs w:val="32"/>
        </w:rPr>
        <w:t>健全全员育人导师制，建立常态化沟通协调制度，建立校家社协同育人“教联体”，完善政府统筹、部门协作、学校主导、家庭尽责、社会参与的协同育人工作机制。开展家庭教育宣传周、家风家教主题宣传月活动，加强家庭家教家风建设。</w:t>
      </w:r>
      <w:r>
        <w:rPr>
          <w:rFonts w:ascii="Times New Roman"/>
          <w:snapToGrid w:val="0"/>
          <w:sz w:val="32"/>
          <w:szCs w:val="32"/>
        </w:rPr>
        <w:t>发挥家庭教育和心理健康教育两个中心的引领作用，</w:t>
      </w:r>
      <w:r>
        <w:rPr>
          <w:rFonts w:ascii="Times New Roman"/>
          <w:snapToGrid w:val="0"/>
          <w:color w:val="auto"/>
          <w:sz w:val="32"/>
          <w:szCs w:val="32"/>
        </w:rPr>
        <w:t>组建市级专家团队，组织主题宣讲、培训学习和案例征集、交流论坛等活动。加强心理健康教育，做好心理测评和筛查，开展心理健康月、心理团辅等活动。</w:t>
      </w:r>
    </w:p>
    <w:p w14:paraId="516C6AF0">
      <w:pPr>
        <w:pStyle w:val="14"/>
        <w:spacing w:after="0" w:line="560" w:lineRule="exact"/>
        <w:ind w:firstLine="640" w:firstLineChars="200"/>
        <w:rPr>
          <w:rFonts w:ascii="Times New Roman" w:hAnsi="Times New Roman"/>
          <w:snapToGrid w:val="0"/>
          <w:szCs w:val="32"/>
        </w:rPr>
      </w:pPr>
      <w:r>
        <w:rPr>
          <w:rFonts w:ascii="Times New Roman" w:hAnsi="Times New Roman" w:eastAsia="楷体_GB2312"/>
          <w:snapToGrid w:val="0"/>
          <w:szCs w:val="32"/>
        </w:rPr>
        <w:t>11.做实做优语言文字工作。</w:t>
      </w:r>
      <w:r>
        <w:rPr>
          <w:rFonts w:ascii="Times New Roman" w:hAnsi="Times New Roman"/>
          <w:snapToGrid w:val="0"/>
          <w:szCs w:val="32"/>
        </w:rPr>
        <w:t>加大推普周宣传力度，开展多元活动。举办幼儿园童语诵童音大赛、中小学中华经典诵读大赛等活动，做好“2026年中国诗词大会”选手选拔推荐工作。开展语言文字工作督查，发挥规范用语用字育人与培根铸魂功能，提高全民语言文化素养。</w:t>
      </w:r>
    </w:p>
    <w:p w14:paraId="52DF85B6">
      <w:pPr>
        <w:spacing w:line="560" w:lineRule="exact"/>
        <w:ind w:firstLine="640" w:firstLineChars="200"/>
        <w:rPr>
          <w:rFonts w:eastAsia="黑体"/>
          <w:sz w:val="32"/>
          <w:szCs w:val="32"/>
        </w:rPr>
      </w:pPr>
      <w:r>
        <w:rPr>
          <w:rFonts w:eastAsia="黑体"/>
          <w:sz w:val="32"/>
          <w:szCs w:val="32"/>
        </w:rPr>
        <w:t>三、坚持全面优质，高质量推进教育水平提档跃升</w:t>
      </w:r>
    </w:p>
    <w:p w14:paraId="69243A48">
      <w:pPr>
        <w:spacing w:line="560" w:lineRule="exact"/>
        <w:ind w:firstLine="640" w:firstLineChars="200"/>
        <w:rPr>
          <w:rFonts w:eastAsia="仿宋_GB2312"/>
          <w:sz w:val="32"/>
          <w:szCs w:val="32"/>
        </w:rPr>
      </w:pPr>
      <w:r>
        <w:rPr>
          <w:rFonts w:eastAsia="楷体_GB2312"/>
          <w:sz w:val="32"/>
          <w:szCs w:val="32"/>
        </w:rPr>
        <w:t>12.推进学前教育优质普惠发展。</w:t>
      </w:r>
      <w:r>
        <w:rPr>
          <w:rFonts w:eastAsia="仿宋_GB2312"/>
          <w:sz w:val="32"/>
          <w:szCs w:val="32"/>
        </w:rPr>
        <w:t>实施学前教育普惠提升行动，持续推进</w:t>
      </w:r>
      <w:r>
        <w:rPr>
          <w:rFonts w:eastAsia="仿宋_GB2312"/>
          <w:spacing w:val="-6"/>
          <w:sz w:val="32"/>
          <w:szCs w:val="32"/>
        </w:rPr>
        <w:t>城区扩容、农村提质，为创建全国学前教育普及普惠县打下坚实基础</w:t>
      </w:r>
      <w:r>
        <w:rPr>
          <w:rFonts w:eastAsia="仿宋_GB2312"/>
          <w:sz w:val="32"/>
          <w:szCs w:val="32"/>
        </w:rPr>
        <w:t>。认定普惠性民办幼儿园7处，新增普惠学位1890个。严格落实城镇居住区配套幼儿园“五同步”政策，多部门协同制定《滕州市居住区配套幼儿园规划建设移交管理使用办法》，持续整治监管无证幼儿园，全面推行幼儿园招生报名“一网通办”。优化幼儿教师研训一体化模式，落实教研骨干研训和教师“双优”达标，助力教师专业化成长。强化以游戏为基本活动的课程建设，聚焦区域四级教研和保教质量过程性评价，提升幼儿园保教质量。</w:t>
      </w:r>
    </w:p>
    <w:p w14:paraId="37E3DE2D">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13.推进义务教育优质均衡发展。</w:t>
      </w:r>
      <w:r>
        <w:rPr>
          <w:rFonts w:ascii="Times New Roman" w:hAnsi="Times New Roman"/>
          <w:szCs w:val="32"/>
        </w:rPr>
        <w:t>持续推进全国义务教育优质均衡发展县创建，深入实施新时代基础教育扩优提质工程。扩大优质教育资源，增加城乡学校共同体和集团化办学覆盖面，提高农村寄宿制学校和小规模学校办学水平，年内撤并小规模学校5处。围绕国家和省级义务教育质量监测，强化监测结果运用与改进，确保监测质量居全省中上游。全面推行小学一、二年级“乐考”，鼓励中高年级部分学科探索“乐考”。加强研学实践基地建设，组织</w:t>
      </w:r>
      <w:r>
        <w:rPr>
          <w:rFonts w:hint="eastAsia" w:ascii="Times New Roman" w:hAnsi="Times New Roman"/>
          <w:szCs w:val="32"/>
        </w:rPr>
        <w:t>中</w:t>
      </w:r>
      <w:r>
        <w:rPr>
          <w:rFonts w:ascii="Times New Roman" w:hAnsi="Times New Roman"/>
          <w:szCs w:val="32"/>
        </w:rPr>
        <w:t>小学三至八年级学生参加综合实践活动，促进学生全面发展。</w:t>
      </w:r>
    </w:p>
    <w:p w14:paraId="77749A67">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14.推进高中教育优质特色发展。</w:t>
      </w:r>
      <w:r>
        <w:rPr>
          <w:rFonts w:ascii="Times New Roman" w:hAnsi="Times New Roman"/>
          <w:spacing w:val="-6"/>
          <w:szCs w:val="32"/>
        </w:rPr>
        <w:t>统筹推进市域内高中阶段学校多样化发展，加快扩大普通高中教育资源供给，构建供给充足、普职融通、多样化有特色的普通高中发展格局。</w:t>
      </w:r>
      <w:r>
        <w:rPr>
          <w:rFonts w:ascii="Times New Roman" w:hAnsi="Times New Roman"/>
          <w:szCs w:val="32"/>
        </w:rPr>
        <w:t>加快推进普通高中学校办学质量达标行动，强化高中基础年级教学，完善三年一贯制的学生跟踪培养和考核评价机制，不断提高省级学业水平合格考合格率，努力实现“双五”目标。探索设立一批以科学教育为特色的普通高中，办好综合高中。深入实施强科培优行动，持续遴选建设省、市学科基地和特色高中，促进高中学校各具特色、错位发展。重点推进市一中深化与国内和省内知名高中合作，与知名重点高校和双一流大学共建优质生源基地，培养更多创新型拔尖人才；</w:t>
      </w:r>
      <w:r>
        <w:rPr>
          <w:rFonts w:ascii="Times New Roman" w:hAnsi="Times New Roman"/>
          <w:spacing w:val="-6"/>
          <w:szCs w:val="32"/>
        </w:rPr>
        <w:t>继续实施市一中腾云部“扩容”计划、特长生培养“前伸”计划和“后延”计划，形成一体化贯通培养机制。</w:t>
      </w:r>
      <w:r>
        <w:rPr>
          <w:rFonts w:ascii="Times New Roman" w:hAnsi="Times New Roman"/>
          <w:szCs w:val="32"/>
        </w:rPr>
        <w:t>试点探索综合高中和科技高中建设，大力推进县中振兴。</w:t>
      </w:r>
    </w:p>
    <w:p w14:paraId="395D1020">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15.推进职业教育优质融通发展。</w:t>
      </w:r>
      <w:r>
        <w:rPr>
          <w:rFonts w:ascii="Times New Roman" w:hAnsi="Times New Roman"/>
          <w:szCs w:val="32"/>
        </w:rPr>
        <w:t>加快构建产教融合的职业教育体系，按照“国家急需、产教融合、供需适配”原则，打造“金专、金课、金师、金地、金教材”，促使人才培养从知识传授转向综合技能提升。积极推进“新双高”建设，加快推动职业学校办学条件全面达标。</w:t>
      </w:r>
      <w:r>
        <w:rPr>
          <w:rFonts w:ascii="Times New Roman" w:hAnsi="Times New Roman"/>
          <w:color w:val="000000"/>
          <w:szCs w:val="32"/>
        </w:rPr>
        <w:t>实施“能工巧匠进校园”工程，鼓励职业学校教师与企业高技能人才按规定互聘兼职，构建高水平的“双师型”教师队伍。</w:t>
      </w:r>
      <w:r>
        <w:rPr>
          <w:rFonts w:ascii="Times New Roman" w:hAnsi="Times New Roman"/>
          <w:szCs w:val="32"/>
        </w:rPr>
        <w:t>开展“岗课赛证融通”育人研究，实施“卓越工匠”培养，落实“访企拓岗促就业专项行动”。与企业深度合作，开展订单式培养，发挥技艺传承平台引领效应，加强产学研合作，助力企业技术研发与产品升级。做好职普融通，推动中职教育与普通高中教育融合发展，着力构建中高职院校与本科院校贯通式培养体系。</w:t>
      </w:r>
    </w:p>
    <w:p w14:paraId="356D625B">
      <w:pPr>
        <w:pStyle w:val="14"/>
        <w:spacing w:after="0" w:line="560" w:lineRule="exact"/>
        <w:ind w:firstLine="640" w:firstLineChars="200"/>
        <w:rPr>
          <w:rFonts w:ascii="Times New Roman" w:hAnsi="Times New Roman"/>
          <w:spacing w:val="-4"/>
          <w:szCs w:val="32"/>
        </w:rPr>
      </w:pPr>
      <w:r>
        <w:rPr>
          <w:rFonts w:ascii="Times New Roman" w:hAnsi="Times New Roman" w:eastAsia="楷体_GB2312"/>
          <w:snapToGrid w:val="0"/>
          <w:szCs w:val="32"/>
        </w:rPr>
        <w:t>16.推进特殊教育优质融合发展。</w:t>
      </w:r>
      <w:r>
        <w:rPr>
          <w:rFonts w:ascii="Times New Roman" w:hAnsi="Times New Roman"/>
          <w:spacing w:val="-4"/>
          <w:szCs w:val="32"/>
        </w:rPr>
        <w:t>落实特殊教育三年行动计划，完善特殊教育服务保障机制，加强随班就读管理服务，研制送教上门管理制度，确保残疾儿童义务教育入学率稳定在99%以上。推动特殊教育由义务教育阶段向两端延伸。推进市特教中心中职部建设，办好孤独症儿童特教班。组织特殊教育教学基本功展示和融合教育优秀案例征集活动，开展融合教育实践创新示范校建设。</w:t>
      </w:r>
    </w:p>
    <w:p w14:paraId="338ABA65">
      <w:pPr>
        <w:pStyle w:val="14"/>
        <w:spacing w:after="0" w:line="560" w:lineRule="exact"/>
        <w:ind w:firstLine="640" w:firstLineChars="200"/>
        <w:rPr>
          <w:rFonts w:ascii="Times New Roman" w:hAnsi="Times New Roman"/>
          <w:spacing w:val="-4"/>
          <w:szCs w:val="32"/>
        </w:rPr>
      </w:pPr>
      <w:r>
        <w:rPr>
          <w:rFonts w:ascii="Times New Roman" w:hAnsi="Times New Roman" w:eastAsia="楷体_GB2312"/>
          <w:snapToGrid w:val="0"/>
          <w:szCs w:val="32"/>
        </w:rPr>
        <w:t>17.推进民办教育优质规范发展。</w:t>
      </w:r>
      <w:r>
        <w:rPr>
          <w:rFonts w:ascii="Times New Roman" w:hAnsi="Times New Roman"/>
          <w:spacing w:val="-4"/>
          <w:szCs w:val="32"/>
        </w:rPr>
        <w:t>加强校外培训机构日常管理，严控学科类培训，规范非学科类培训。完善证照齐全校外培训机构线上监管，提升全国校外教育培训监管和服务综合平台运行水平。做好校外培训机构安全工作，落实镇街“属地管理”责任，构建“线上+线下”“联检+抽检”动态排查机制，严厉打击隐形变异开展学科类培训等违法违规行为。规范校外培训机构办学行为，持续跟进证照齐全校外培训机构信用评价试点工作。开展民办学校和校外培训机构年检工作。</w:t>
      </w:r>
    </w:p>
    <w:p w14:paraId="7DFFC758">
      <w:pPr>
        <w:pStyle w:val="14"/>
        <w:spacing w:after="0" w:line="560" w:lineRule="exact"/>
        <w:ind w:firstLine="640" w:firstLineChars="200"/>
        <w:rPr>
          <w:rFonts w:ascii="Times New Roman" w:hAnsi="Times New Roman" w:eastAsia="黑体"/>
          <w:kern w:val="0"/>
          <w:szCs w:val="32"/>
        </w:rPr>
      </w:pPr>
      <w:r>
        <w:rPr>
          <w:rFonts w:ascii="Times New Roman" w:hAnsi="Times New Roman" w:eastAsia="黑体"/>
          <w:kern w:val="0"/>
          <w:szCs w:val="32"/>
        </w:rPr>
        <w:t>四、坚持优师赋能，高定位推进教育家精神铸魂强师</w:t>
      </w:r>
    </w:p>
    <w:p w14:paraId="5861F71E">
      <w:pPr>
        <w:pStyle w:val="14"/>
        <w:spacing w:after="0" w:line="560" w:lineRule="exact"/>
        <w:ind w:firstLine="640" w:firstLineChars="200"/>
        <w:rPr>
          <w:rFonts w:ascii="Times New Roman" w:hAnsi="Times New Roman"/>
          <w:snapToGrid w:val="0"/>
          <w:szCs w:val="32"/>
        </w:rPr>
      </w:pPr>
      <w:r>
        <w:rPr>
          <w:rFonts w:ascii="Times New Roman" w:hAnsi="Times New Roman" w:eastAsia="楷体_GB2312"/>
          <w:snapToGrid w:val="0"/>
          <w:szCs w:val="32"/>
        </w:rPr>
        <w:t>18.提升师德师风建设水平。</w:t>
      </w:r>
      <w:r>
        <w:rPr>
          <w:rFonts w:ascii="Times New Roman" w:hAnsi="Times New Roman"/>
          <w:snapToGrid w:val="0"/>
          <w:szCs w:val="32"/>
        </w:rPr>
        <w:t>加强师德师风建设，健全师德师风建设长效机制，</w:t>
      </w:r>
      <w:r>
        <w:rPr>
          <w:rFonts w:ascii="Times New Roman" w:hAnsi="Times New Roman"/>
          <w:spacing w:val="-6"/>
          <w:szCs w:val="32"/>
        </w:rPr>
        <w:t>做好寒暑假师德师风专题培训、师德教育建设月等教育学习活动。持续开展“教育家精神巡回宣讲”“树师德正师风”等专项行动，</w:t>
      </w:r>
      <w:r>
        <w:rPr>
          <w:rFonts w:ascii="Times New Roman" w:hAnsi="Times New Roman"/>
          <w:snapToGrid w:val="0"/>
          <w:szCs w:val="32"/>
        </w:rPr>
        <w:t>选树榜样典型，弘扬师德师风正气。</w:t>
      </w:r>
      <w:r>
        <w:rPr>
          <w:rFonts w:ascii="Times New Roman" w:hAnsi="Times New Roman"/>
          <w:spacing w:val="-6"/>
          <w:szCs w:val="32"/>
        </w:rPr>
        <w:t>建立健全师德师风考核机制，严格落实师德失范“零容忍”。</w:t>
      </w:r>
      <w:r>
        <w:rPr>
          <w:rFonts w:ascii="Times New Roman" w:hAnsi="Times New Roman"/>
          <w:snapToGrid w:val="0"/>
          <w:szCs w:val="32"/>
        </w:rPr>
        <w:t>组织“最美教师”“十佳师德标兵”“滕州名班主任”等评选活动。深入开展“千名校长访万家”“万名教师访万家”活动，提升人民群众满意度。举办班主任基本功大赛和工作论坛，强化名班主任工作室建设，提升班主任育人能力。</w:t>
      </w:r>
    </w:p>
    <w:p w14:paraId="2E9AB840">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19.夯实教师专业素养基石。</w:t>
      </w:r>
      <w:r>
        <w:rPr>
          <w:rFonts w:ascii="Times New Roman" w:hAnsi="Times New Roman"/>
          <w:szCs w:val="32"/>
        </w:rPr>
        <w:t xml:space="preserve">聚力深化“三名工程”建设，依据“善城名师”培养模型，健全抬高教师群体底部、筑牢教师教学根基、提升教师评价能力、加快建成名师梯队“四级培养”体系。通过论坛、送教下乡、名师培养发展共同体、后备干部培养基地等工作，对新任教师、骨干教师、班主任、校长进行跟踪培养，造就新时代高素质专业化教师队伍。开展“互联网+教师专业发展”网上研修和青师培养、骨干培优、优师培尖等工作，实施“教师读书计划”，利用教师优课评选、1～3年教龄教师优质课评比、教师通用教学基本大赛、青年教师教学竞赛等活动，持续推动教师专业发展内驱力。  </w:t>
      </w:r>
    </w:p>
    <w:p w14:paraId="29681A2E">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20.提高学校干部领导能力。</w:t>
      </w:r>
      <w:r>
        <w:rPr>
          <w:rFonts w:ascii="Times New Roman" w:hAnsi="Times New Roman"/>
          <w:szCs w:val="32"/>
        </w:rPr>
        <w:t>完善干部选拔、培养、考核制度，加大学校领导干部交流任职的力度，鼓励和选派城区学校优秀中层干部到农村学校担任副校长以上职务，充实镇村学校的管理力量。</w:t>
      </w:r>
      <w:r>
        <w:rPr>
          <w:rFonts w:ascii="Times New Roman" w:hAnsi="Times New Roman"/>
          <w:color w:val="000000"/>
          <w:szCs w:val="32"/>
        </w:rPr>
        <w:t>举办学区（联区）主任、中小学名校长、工会干部高级研修班，</w:t>
      </w:r>
      <w:r>
        <w:rPr>
          <w:rFonts w:ascii="Times New Roman" w:hAnsi="Times New Roman"/>
          <w:szCs w:val="32"/>
        </w:rPr>
        <w:t>建立校长后备干部库，提供培训和发展机会。选派优秀干部到教育发达地区挂职学习，健全完善干部考核机制，提升学校管理水平。</w:t>
      </w:r>
    </w:p>
    <w:p w14:paraId="4197A33D">
      <w:pPr>
        <w:pStyle w:val="14"/>
        <w:spacing w:after="0" w:line="560" w:lineRule="exact"/>
        <w:ind w:firstLine="640" w:firstLineChars="200"/>
        <w:rPr>
          <w:rFonts w:ascii="Times New Roman" w:hAnsi="Times New Roman" w:eastAsia="黑体"/>
          <w:color w:val="FF0000"/>
          <w:kern w:val="0"/>
          <w:szCs w:val="32"/>
        </w:rPr>
      </w:pPr>
      <w:r>
        <w:rPr>
          <w:rFonts w:ascii="Times New Roman" w:hAnsi="Times New Roman" w:eastAsia="楷体_GB2312"/>
          <w:szCs w:val="32"/>
        </w:rPr>
        <w:t>21.促进师资优质科学配置。</w:t>
      </w:r>
      <w:r>
        <w:rPr>
          <w:rFonts w:ascii="Times New Roman" w:hAnsi="Times New Roman"/>
          <w:szCs w:val="32"/>
        </w:rPr>
        <w:t>完善教师补充机制，多种形式补充教师，促进优秀人才进得来、留得住、教得好。开展域外教师回引，引进滕州市外在编在岗优秀中小学教师回滕任教；继续开展校园招聘、教师公开招聘及公费师范生就业安置工作。全面深化教师“县管校聘”管理改革，优化教师配置，推进教师交流轮岗，选派城区优秀骨干教师到农村薄弱学校支教，为城区学校选派轮岗教师，促进城乡师资合理配置。</w:t>
      </w:r>
    </w:p>
    <w:p w14:paraId="4804A177">
      <w:pPr>
        <w:widowControl/>
        <w:spacing w:line="560" w:lineRule="exact"/>
        <w:ind w:firstLine="640" w:firstLineChars="200"/>
        <w:rPr>
          <w:rFonts w:eastAsia="黑体"/>
          <w:kern w:val="0"/>
          <w:sz w:val="32"/>
          <w:szCs w:val="32"/>
        </w:rPr>
      </w:pPr>
      <w:r>
        <w:rPr>
          <w:rFonts w:eastAsia="黑体"/>
          <w:kern w:val="0"/>
          <w:sz w:val="32"/>
          <w:szCs w:val="32"/>
        </w:rPr>
        <w:t>五、坚持改革驱动，高水平推进教育创新提级攻坚</w:t>
      </w:r>
    </w:p>
    <w:p w14:paraId="78799318">
      <w:pPr>
        <w:pStyle w:val="16"/>
        <w:spacing w:line="560" w:lineRule="exact"/>
        <w:ind w:firstLine="640" w:firstLineChars="200"/>
        <w:jc w:val="both"/>
        <w:rPr>
          <w:rFonts w:eastAsia="仿宋_GB2312"/>
          <w:sz w:val="32"/>
          <w:szCs w:val="32"/>
        </w:rPr>
      </w:pPr>
      <w:r>
        <w:rPr>
          <w:rFonts w:eastAsia="楷体_GB2312"/>
          <w:sz w:val="32"/>
          <w:szCs w:val="32"/>
        </w:rPr>
        <w:t>22.深化课程教学改革。</w:t>
      </w:r>
      <w:r>
        <w:rPr>
          <w:rFonts w:eastAsia="仿宋_GB2312"/>
          <w:sz w:val="32"/>
          <w:szCs w:val="32"/>
        </w:rPr>
        <w:t>深入推进新课堂达标，启动“课程领导力提升年”，推动学校全面开展“五个一”达标活动，全面建设“滕州好课堂”。深入推进“一课一研”校本教研，大力实施项目式学习、大单元教学，启动中小学大单元教学实验学校培育计划。实施“严控一个目标、做到三个突出、实行三个监管、坚持四个制度、落实四项措施”作业管理机制，强化作业管理。大力推进“双线五维三贯通六提升”增值评价改革，深化教师教学述评改革，积极筹备山东省教师教学述评现场会。</w:t>
      </w:r>
    </w:p>
    <w:p w14:paraId="64A2307B">
      <w:pPr>
        <w:pStyle w:val="14"/>
        <w:tabs>
          <w:tab w:val="left" w:pos="2521"/>
        </w:tabs>
        <w:spacing w:after="0" w:line="560" w:lineRule="exact"/>
        <w:ind w:firstLine="640" w:firstLineChars="200"/>
        <w:rPr>
          <w:rFonts w:ascii="Times New Roman" w:hAnsi="Times New Roman"/>
          <w:szCs w:val="32"/>
        </w:rPr>
      </w:pPr>
      <w:r>
        <w:rPr>
          <w:rFonts w:ascii="Times New Roman" w:hAnsi="Times New Roman" w:eastAsia="楷体_GB2312"/>
          <w:szCs w:val="32"/>
        </w:rPr>
        <w:t>23.推进教研赋能行动。</w:t>
      </w:r>
      <w:r>
        <w:rPr>
          <w:rFonts w:ascii="Times New Roman" w:hAnsi="Times New Roman"/>
          <w:szCs w:val="32"/>
        </w:rPr>
        <w:t>依托“三名工程”工作机制，组织滕州教学名师评选，推动建立“名师工作室”，激发工作室“孵化器效应”，增强教师教研驱动力。建设“数字教研室”，推进数字协同教研，开展实时性问题研讨、生成式集体备课、异时空听评课、在线式巡课等数字化教研活动。完善乡村学校教研支持措施，继续实施教研员联系乡村学校工作机制，常态化开展菜单式、定制式的“强镇筑基·送教助研”活动，推动乡村教育振兴。</w:t>
      </w:r>
    </w:p>
    <w:p w14:paraId="7871F89D">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24.持续深化招生改革。</w:t>
      </w:r>
      <w:r>
        <w:rPr>
          <w:rFonts w:ascii="Times New Roman" w:hAnsi="Times New Roman"/>
          <w:szCs w:val="32"/>
        </w:rPr>
        <w:t>探索破解办法，释放优质学位，优化购房入学模式，吸引周边学子来滕就读。大力推动数字治理赋能义务教育“阳光招生”，优化“教育入学一件事”服务，部分学校推行“一键报名”。严格推行考试平安工作责任制，守牢各类教育考试安全底线；持续推进标准化考点功能提升项目建设，加快市育才中学标准化考点项目建设工程，力争今年5月通过省招考院验收。加强“诚信、遵规、守纪”宣传，运用“人防、技防、物防”手段，维护考试的权威性与公平性；“持续擦亮“规范＋严，有温度”的滕州教育招生考试品牌。</w:t>
      </w:r>
    </w:p>
    <w:p w14:paraId="4092B9C8">
      <w:pPr>
        <w:spacing w:line="560" w:lineRule="exact"/>
        <w:ind w:firstLine="640" w:firstLineChars="200"/>
        <w:rPr>
          <w:rFonts w:eastAsia="仿宋_GB2312"/>
          <w:kern w:val="0"/>
          <w:sz w:val="32"/>
          <w:szCs w:val="32"/>
        </w:rPr>
      </w:pPr>
      <w:r>
        <w:rPr>
          <w:rFonts w:eastAsia="楷体_GB2312"/>
          <w:sz w:val="32"/>
          <w:szCs w:val="32"/>
        </w:rPr>
        <w:t>25.提升科研创新能力。</w:t>
      </w:r>
      <w:r>
        <w:rPr>
          <w:rFonts w:eastAsia="仿宋_GB2312"/>
          <w:sz w:val="32"/>
          <w:szCs w:val="32"/>
        </w:rPr>
        <w:t>规范课题申报、备案和认证工作，抓好市级课题立项、结题鉴定。举行教科研大讲堂，不断提升教师课题研究能力。开展跨区域科研合作，拓展教育科研视野。</w:t>
      </w:r>
      <w:r>
        <w:rPr>
          <w:rFonts w:eastAsia="仿宋_GB2312"/>
          <w:kern w:val="0"/>
          <w:sz w:val="32"/>
          <w:szCs w:val="32"/>
        </w:rPr>
        <w:t>做好基础教育教学改革项目培育，推广应用优秀教研成果。</w:t>
      </w:r>
    </w:p>
    <w:p w14:paraId="76B07C70">
      <w:pPr>
        <w:pStyle w:val="14"/>
        <w:spacing w:after="0" w:line="560" w:lineRule="exact"/>
        <w:ind w:firstLine="640" w:firstLineChars="200"/>
        <w:rPr>
          <w:rFonts w:ascii="Times New Roman" w:hAnsi="Times New Roman" w:eastAsia="黑体"/>
          <w:kern w:val="0"/>
          <w:szCs w:val="32"/>
        </w:rPr>
      </w:pPr>
      <w:r>
        <w:rPr>
          <w:rFonts w:ascii="Times New Roman" w:hAnsi="Times New Roman" w:eastAsia="黑体"/>
          <w:kern w:val="0"/>
          <w:szCs w:val="32"/>
        </w:rPr>
        <w:t>六、坚持强基固本，高效率推进教育资源扩面优化</w:t>
      </w:r>
    </w:p>
    <w:p w14:paraId="668E30F6">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26.优化学校规划布局。</w:t>
      </w:r>
      <w:r>
        <w:rPr>
          <w:rFonts w:ascii="Times New Roman" w:hAnsi="Times New Roman"/>
          <w:szCs w:val="32"/>
        </w:rPr>
        <w:t>基于居住区人口规模、学生需求预测等因素，对比《滕州市城乡中小学及幼儿园布局规划（2019～2030年）》进行中期调整，协调规划、街道、开发企业等，加快推进荆泉高中、安康学校等城区学校规划方案编制工作。继续推进农村小规模学校布局调整，完善固定资产处置手续，配合财政部门对近年来撤并闲置校舍进行清理，鼓励各镇利用撤并学校闲置校舍改造1处校外劳动基地，提高闲置资产利用率。</w:t>
      </w:r>
    </w:p>
    <w:p w14:paraId="2EAA5002">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27.加快教育项目建设。</w:t>
      </w:r>
      <w:r>
        <w:rPr>
          <w:rFonts w:ascii="Times New Roman" w:hAnsi="Times New Roman"/>
          <w:szCs w:val="32"/>
        </w:rPr>
        <w:t>继续推进农村学校办学条件薄弱环节改善与能力提升工程，加快推进育才中学、贾庄学校、滕西中学续建进程，争取9月开学使用。实施市一中扩建、龙泉街道梁场学校新建、市第三实验小学迁建、界河中学宿舍楼重建工作，谋划东沙河街道荆沟小学项目建设。对北辛街道杏花村小学等15处中小学校进行运动场地翻新、校园设施维修改造、内部教学设施更新等，全面提升中小学办学条件。</w:t>
      </w:r>
    </w:p>
    <w:p w14:paraId="31028A28">
      <w:pPr>
        <w:pStyle w:val="14"/>
        <w:spacing w:after="0" w:line="560" w:lineRule="exact"/>
        <w:ind w:firstLine="640" w:firstLineChars="200"/>
        <w:rPr>
          <w:rFonts w:ascii="Times New Roman" w:hAnsi="Times New Roman"/>
          <w:szCs w:val="32"/>
        </w:rPr>
      </w:pPr>
      <w:r>
        <w:rPr>
          <w:rFonts w:ascii="Times New Roman" w:hAnsi="Times New Roman" w:eastAsia="楷体_GB2312"/>
          <w:szCs w:val="32"/>
        </w:rPr>
        <w:t>28.推进教育数字化转型。</w:t>
      </w:r>
      <w:r>
        <w:rPr>
          <w:rFonts w:ascii="Times New Roman" w:hAnsi="Times New Roman"/>
          <w:szCs w:val="32"/>
        </w:rPr>
        <w:t>开展智慧校园“强基”行动，实施教育数字化基座建设工程，持续推动中小学实验室、微机室、创客教室、交互式一体机和专任教师办公电脑等设备更新与配备。实施数字课堂“引航”行动，探索滕州教育资源数据库建设，开展滕州市教育资源公共服务平台应用和国家中小学智慧教育平台深度融合路径研究，提升教育信息化水平。继续实施“新时代教育数字化领航人物”培养工程，推动“三个课堂”建设</w:t>
      </w:r>
      <w:r>
        <w:rPr>
          <w:rFonts w:ascii="Times New Roman" w:hAnsi="Times New Roman" w:cs="Times New Roman"/>
          <w:szCs w:val="32"/>
        </w:rPr>
        <w:t>，举行全市现代教育技术优质课评比活动。加</w:t>
      </w:r>
      <w:r>
        <w:rPr>
          <w:rFonts w:ascii="Times New Roman" w:hAnsi="Times New Roman"/>
          <w:szCs w:val="32"/>
        </w:rPr>
        <w:t>强教育网建设，增强网络安全防范能力，推进IPV6部署，做好安全防护和预警工作。规范教育装备购置审验流程，提升教育装备审验专业能力。</w:t>
      </w:r>
    </w:p>
    <w:p w14:paraId="56734E47">
      <w:pPr>
        <w:spacing w:line="560" w:lineRule="exact"/>
        <w:ind w:firstLine="640" w:firstLineChars="200"/>
        <w:rPr>
          <w:rFonts w:eastAsia="仿宋_GB2312"/>
          <w:kern w:val="0"/>
          <w:sz w:val="32"/>
          <w:szCs w:val="32"/>
        </w:rPr>
      </w:pPr>
      <w:r>
        <w:rPr>
          <w:rFonts w:eastAsia="楷体_GB2312"/>
          <w:kern w:val="0"/>
          <w:sz w:val="32"/>
          <w:szCs w:val="32"/>
        </w:rPr>
        <w:t>29.强化教育经费保障。</w:t>
      </w:r>
      <w:r>
        <w:rPr>
          <w:rFonts w:eastAsia="仿宋_GB2312"/>
          <w:kern w:val="0"/>
          <w:sz w:val="32"/>
          <w:szCs w:val="32"/>
        </w:rPr>
        <w:t>持续加大财政投入力度，贯彻落实各类教育生均拨款制度，确保“两个只增不减”。进一步规范会计基础工作，强化财会队伍建设，推进预算一体化管理平台的应用，加强规范教育收费管理，发挥内部审计作用，优化支出结构，增强重大决策部署保障能力，加强财务档案管理，提升中小学财务管理水平。抓好教育经费、事业发展、固定资产投资等统计工作。</w:t>
      </w:r>
    </w:p>
    <w:p w14:paraId="47B5F8A1">
      <w:pPr>
        <w:pStyle w:val="14"/>
        <w:spacing w:after="0" w:line="560" w:lineRule="exact"/>
        <w:ind w:firstLine="640" w:firstLineChars="200"/>
        <w:rPr>
          <w:rFonts w:ascii="Times New Roman" w:hAnsi="Times New Roman" w:eastAsia="黑体"/>
          <w:kern w:val="0"/>
          <w:szCs w:val="32"/>
        </w:rPr>
      </w:pPr>
      <w:r>
        <w:rPr>
          <w:rFonts w:ascii="Times New Roman" w:hAnsi="Times New Roman" w:eastAsia="黑体"/>
          <w:kern w:val="0"/>
          <w:szCs w:val="32"/>
        </w:rPr>
        <w:t>七、坚持夯实基础，高效能推进教育治理深化提升</w:t>
      </w:r>
    </w:p>
    <w:p w14:paraId="190B17D7">
      <w:pPr>
        <w:pStyle w:val="14"/>
        <w:spacing w:after="0" w:line="560" w:lineRule="exact"/>
        <w:ind w:firstLine="640" w:firstLineChars="200"/>
        <w:rPr>
          <w:rFonts w:ascii="Times New Roman" w:hAnsi="Times New Roman"/>
          <w:snapToGrid w:val="0"/>
          <w:szCs w:val="32"/>
        </w:rPr>
      </w:pPr>
      <w:r>
        <w:rPr>
          <w:rFonts w:ascii="Times New Roman" w:hAnsi="Times New Roman" w:eastAsia="楷体_GB2312"/>
          <w:kern w:val="0"/>
          <w:szCs w:val="32"/>
        </w:rPr>
        <w:t>30.深入推进依法治教。</w:t>
      </w:r>
      <w:r>
        <w:rPr>
          <w:rFonts w:ascii="Times New Roman" w:hAnsi="Times New Roman"/>
          <w:kern w:val="0"/>
          <w:szCs w:val="32"/>
        </w:rPr>
        <w:t>大力推进依法治教、依法治校，努力提升教体系统行政执法专业化水平。不断充实行政执法队伍力量，强化执法检查，确保“互联网+监管”平台监管事项及时率、覆盖率100%。以“依法、规范”为核心，统筹开展“规范管理年”系列行动，进一步提高中小学管理水平。构建规范办学长效机制，严肃查处各类违规办学行为。开展教体系统“双随机一公开”监督检查，持续优化教育发展环境。继</w:t>
      </w:r>
      <w:r>
        <w:rPr>
          <w:rFonts w:ascii="Times New Roman" w:hAnsi="Times New Roman"/>
          <w:snapToGrid w:val="0"/>
          <w:szCs w:val="32"/>
        </w:rPr>
        <w:t>续做好法治教育月、国家宪法日等活动，加强预防青少年犯罪、毒品预防、反邪教教育。</w:t>
      </w:r>
    </w:p>
    <w:p w14:paraId="12DE77CE">
      <w:pPr>
        <w:pStyle w:val="14"/>
        <w:spacing w:after="0" w:line="560" w:lineRule="exact"/>
        <w:ind w:firstLine="640" w:firstLineChars="200"/>
        <w:rPr>
          <w:rFonts w:ascii="Times New Roman" w:hAnsi="Times New Roman"/>
          <w:kern w:val="0"/>
          <w:szCs w:val="32"/>
        </w:rPr>
      </w:pPr>
      <w:r>
        <w:rPr>
          <w:rFonts w:ascii="Times New Roman" w:hAnsi="Times New Roman" w:eastAsia="楷体_GB2312"/>
          <w:kern w:val="0"/>
          <w:szCs w:val="32"/>
        </w:rPr>
        <w:t>31.守好校园安全底线。</w:t>
      </w:r>
      <w:r>
        <w:rPr>
          <w:rFonts w:ascii="Times New Roman" w:hAnsi="Times New Roman"/>
          <w:kern w:val="0"/>
          <w:szCs w:val="32"/>
        </w:rPr>
        <w:t>聚焦关键部位、紧盯重点环节，推动校园安全标准化建设，有序推进“校园天眼”工程建设，加快校园安防系统与公安、教育信息化应用服务体系的深度融合，提升学校安全技防水平。强化安全管理队伍建设，持续提升应急处置能力。加强宣教培训，强化家校社多方协同，完善资源共享机制，推动特殊群体学生管理提升，营造健康成长的良性氛围。强化学生交通安全意识，完善优化校车安全管理。常态化开展安全教育活动，组织“安全综合大检查”“协作区交叉检查”等安全检查，构建纵向到底、横向到边的安全监管体系，保持隐患排查整治高压态势。</w:t>
      </w:r>
    </w:p>
    <w:p w14:paraId="599A3E8D">
      <w:pPr>
        <w:pStyle w:val="14"/>
        <w:spacing w:after="0" w:line="560" w:lineRule="exact"/>
        <w:ind w:firstLine="640" w:firstLineChars="200"/>
        <w:rPr>
          <w:rFonts w:ascii="Times New Roman" w:hAnsi="Times New Roman"/>
          <w:kern w:val="0"/>
          <w:szCs w:val="32"/>
        </w:rPr>
      </w:pPr>
      <w:r>
        <w:rPr>
          <w:rFonts w:ascii="Times New Roman" w:hAnsi="Times New Roman" w:eastAsia="楷体_GB2312"/>
          <w:kern w:val="0"/>
          <w:szCs w:val="32"/>
        </w:rPr>
        <w:t>32.强化教育督导职能。</w:t>
      </w:r>
      <w:r>
        <w:rPr>
          <w:rFonts w:ascii="Times New Roman" w:hAnsi="Times New Roman"/>
          <w:kern w:val="0"/>
          <w:szCs w:val="32"/>
        </w:rPr>
        <w:t>充分发挥督政、督学、评估监测职能，持续深化教育评价改革。稳步推进督导责任区和责任督学挂牌督导工作，不断加强督学队伍建设，开展好月度督导、专项督导、综合督导。迎接省、枣庄市对我市政府履行教育职责评价，抓好评价反馈问题整改。</w:t>
      </w:r>
    </w:p>
    <w:p w14:paraId="4E6EACED">
      <w:pPr>
        <w:widowControl/>
        <w:spacing w:line="560" w:lineRule="exact"/>
        <w:ind w:firstLine="640" w:firstLineChars="200"/>
        <w:rPr>
          <w:rFonts w:eastAsia="黑体"/>
          <w:kern w:val="0"/>
          <w:sz w:val="32"/>
          <w:szCs w:val="32"/>
        </w:rPr>
      </w:pPr>
      <w:r>
        <w:rPr>
          <w:rFonts w:eastAsia="黑体"/>
          <w:kern w:val="0"/>
          <w:sz w:val="32"/>
          <w:szCs w:val="32"/>
        </w:rPr>
        <w:t>八、坚持强化服务，高品质推进教育保障向优向强</w:t>
      </w:r>
    </w:p>
    <w:p w14:paraId="28ADC6FE">
      <w:pPr>
        <w:spacing w:line="560" w:lineRule="exact"/>
        <w:ind w:firstLine="640" w:firstLineChars="200"/>
        <w:rPr>
          <w:rFonts w:eastAsia="仿宋_GB2312"/>
          <w:kern w:val="0"/>
          <w:sz w:val="32"/>
          <w:szCs w:val="32"/>
        </w:rPr>
      </w:pPr>
      <w:r>
        <w:rPr>
          <w:rFonts w:eastAsia="楷体_GB2312"/>
          <w:kern w:val="0"/>
          <w:sz w:val="32"/>
          <w:szCs w:val="32"/>
        </w:rPr>
        <w:t>33.充分发挥教育工会作用。</w:t>
      </w:r>
      <w:r>
        <w:rPr>
          <w:rFonts w:eastAsia="仿宋_GB2312"/>
          <w:kern w:val="0"/>
          <w:sz w:val="32"/>
          <w:szCs w:val="32"/>
        </w:rPr>
        <w:t>增强工会工作规范化水平，强化学校基层工会组织建设，健全财务管理、经费审查制度。加强工会干部培训，提升干部业务能力。丰富工会会员精神文化生活，办好维权好事实事，健全帮扶解困机制，保障职工权益。</w:t>
      </w:r>
    </w:p>
    <w:p w14:paraId="6873B35C">
      <w:pPr>
        <w:spacing w:line="560" w:lineRule="exact"/>
        <w:ind w:firstLine="640" w:firstLineChars="200"/>
        <w:rPr>
          <w:rFonts w:eastAsia="仿宋_GB2312"/>
          <w:kern w:val="0"/>
          <w:sz w:val="32"/>
          <w:szCs w:val="32"/>
        </w:rPr>
      </w:pPr>
      <w:r>
        <w:rPr>
          <w:rFonts w:eastAsia="楷体_GB2312"/>
          <w:kern w:val="0"/>
          <w:sz w:val="32"/>
          <w:szCs w:val="32"/>
        </w:rPr>
        <w:t>34.全力做好后勤保障工作。</w:t>
      </w:r>
      <w:r>
        <w:rPr>
          <w:rFonts w:eastAsia="仿宋_GB2312"/>
          <w:kern w:val="0"/>
          <w:sz w:val="32"/>
          <w:szCs w:val="32"/>
        </w:rPr>
        <w:t xml:space="preserve">持续深化“校园餐”领域专项整治，聚焦食堂关键环节，实施大宗食材统一配送、“互联网+明厨亮灶”提升改造工作，组织开展市县级学校“标杆食堂”创建工作，不断提升供餐服务质量，守护校园食品安全底线。聚焦教辅材料、校服选用、政府采购管理，严格程序、严控质量，建立廉政风险防控长效机制，营造风清气正的教育环境。积极建设与立德树人、课程教学改革相适应的现代化中小学图书馆建设、管理和服务体系，做好学生报刊宣传发行工作。  </w:t>
      </w:r>
    </w:p>
    <w:p w14:paraId="3723527F">
      <w:pPr>
        <w:spacing w:line="560" w:lineRule="exact"/>
        <w:ind w:firstLine="640" w:firstLineChars="200"/>
        <w:rPr>
          <w:rFonts w:eastAsia="仿宋_GB2312"/>
          <w:kern w:val="0"/>
          <w:sz w:val="32"/>
          <w:szCs w:val="32"/>
        </w:rPr>
      </w:pPr>
      <w:r>
        <w:rPr>
          <w:rFonts w:eastAsia="楷体_GB2312"/>
          <w:kern w:val="0"/>
          <w:sz w:val="32"/>
          <w:szCs w:val="32"/>
        </w:rPr>
        <w:t>35.提升学校卫生工作水平。</w:t>
      </w:r>
      <w:r>
        <w:rPr>
          <w:rFonts w:eastAsia="仿宋_GB2312"/>
          <w:kern w:val="0"/>
          <w:sz w:val="32"/>
          <w:szCs w:val="32"/>
        </w:rPr>
        <w:t>构建学校卫生与健康教育体系，提升校园传染病及常见病防控能力。落实全市青少年体质“四防四进”强健计划，做好学生健康体检工作，学生近视率持续下降。实施学生应急救护知识技能普及行动，加强学校急救设施建设和师生救护技能培训。积极开展爱国卫生运动，开展绿色环保教育，推进校园垃圾分类工作。</w:t>
      </w:r>
    </w:p>
    <w:p w14:paraId="20026DFA">
      <w:pPr>
        <w:spacing w:line="560" w:lineRule="exact"/>
        <w:ind w:firstLine="640" w:firstLineChars="200"/>
        <w:rPr>
          <w:rFonts w:eastAsia="仿宋_GB2312"/>
          <w:kern w:val="0"/>
          <w:sz w:val="32"/>
          <w:szCs w:val="32"/>
        </w:rPr>
      </w:pPr>
      <w:r>
        <w:rPr>
          <w:rFonts w:eastAsia="楷体_GB2312"/>
          <w:sz w:val="32"/>
          <w:szCs w:val="32"/>
        </w:rPr>
        <w:t>36.全面落实资助帮扶政策。</w:t>
      </w:r>
      <w:r>
        <w:rPr>
          <w:rFonts w:eastAsia="仿宋_GB2312"/>
          <w:spacing w:val="13"/>
          <w:sz w:val="32"/>
          <w:szCs w:val="32"/>
        </w:rPr>
        <w:t>实施标准化建设，</w:t>
      </w:r>
      <w:r>
        <w:rPr>
          <w:rFonts w:eastAsia="仿宋_GB2312"/>
          <w:sz w:val="32"/>
          <w:szCs w:val="32"/>
        </w:rPr>
        <w:t>实现各类学校学</w:t>
      </w:r>
      <w:r>
        <w:rPr>
          <w:rFonts w:eastAsia="仿宋_GB2312"/>
          <w:spacing w:val="9"/>
          <w:sz w:val="32"/>
          <w:szCs w:val="32"/>
        </w:rPr>
        <w:t>生资助工作</w:t>
      </w:r>
      <w:r>
        <w:rPr>
          <w:rFonts w:eastAsia="仿宋_GB2312"/>
          <w:spacing w:val="-100"/>
          <w:sz w:val="32"/>
          <w:szCs w:val="32"/>
        </w:rPr>
        <w:t xml:space="preserve"> </w:t>
      </w:r>
      <w:r>
        <w:rPr>
          <w:rFonts w:eastAsia="仿宋_GB2312"/>
          <w:spacing w:val="9"/>
          <w:sz w:val="32"/>
          <w:szCs w:val="32"/>
        </w:rPr>
        <w:t>“九化”建设目标。</w:t>
      </w:r>
      <w:r>
        <w:rPr>
          <w:rFonts w:eastAsia="仿宋_GB2312"/>
          <w:spacing w:val="13"/>
          <w:sz w:val="32"/>
          <w:szCs w:val="32"/>
        </w:rPr>
        <w:t>持续巩固拓展教育脱贫攻坚成果同乡村振兴有效衔接，加强特殊困难群体信息共享和数据比对工作。</w:t>
      </w:r>
      <w:r>
        <w:rPr>
          <w:rFonts w:eastAsia="仿宋_GB2312"/>
          <w:sz w:val="32"/>
          <w:szCs w:val="32"/>
        </w:rPr>
        <w:t>强化资助资金监管，用好用活校内资助资金。全面提升信息化管理水平，推进学校建立家庭经济困难学生认定体系。扎实做好资助宣传工作，提高资助政策知晓度。着力加强政策培训，设立学生资助专项课题，开展理论与实践研究。</w:t>
      </w:r>
    </w:p>
    <w:p w14:paraId="1E8B97B1">
      <w:pPr>
        <w:spacing w:line="560" w:lineRule="exact"/>
        <w:ind w:firstLine="640" w:firstLineChars="200"/>
        <w:rPr>
          <w:rFonts w:eastAsia="仿宋_GB2312"/>
          <w:kern w:val="0"/>
          <w:sz w:val="32"/>
          <w:szCs w:val="32"/>
        </w:rPr>
      </w:pPr>
      <w:r>
        <w:rPr>
          <w:rFonts w:eastAsia="仿宋_GB2312"/>
          <w:kern w:val="0"/>
          <w:sz w:val="32"/>
          <w:szCs w:val="32"/>
        </w:rPr>
        <w:t>37.</w:t>
      </w:r>
      <w:r>
        <w:rPr>
          <w:rFonts w:eastAsia="楷体_GB2312"/>
          <w:sz w:val="32"/>
          <w:szCs w:val="32"/>
        </w:rPr>
        <w:t>加强体育行政服务工作。</w:t>
      </w:r>
      <w:r>
        <w:rPr>
          <w:rFonts w:eastAsia="仿宋_GB2312"/>
          <w:sz w:val="32"/>
          <w:szCs w:val="32"/>
        </w:rPr>
        <w:t>落实《枣庄市学校体育场地设施向社会开放工作的实施意见》，分类、分阶段推进学校体育场地设施向社会开放工作。严格执行《经营高危险性体育项目许可管理办法》，会同相关单位加强对游泳、滑雪等高危险性体育项目的监督和管理。</w:t>
      </w:r>
    </w:p>
    <w:p w14:paraId="4663CA62">
      <w:pPr>
        <w:pStyle w:val="5"/>
        <w:widowControl w:val="0"/>
        <w:spacing w:line="560" w:lineRule="exact"/>
        <w:ind w:firstLine="640" w:firstLineChars="200"/>
        <w:textAlignment w:val="auto"/>
        <w:rPr>
          <w:rFonts w:hAnsi="Times New Roman" w:eastAsia="仿宋_GB2312" w:cs="Times New Roman"/>
          <w:color w:val="auto"/>
          <w:sz w:val="32"/>
          <w:szCs w:val="32"/>
          <w:u w:val="none" w:color="auto"/>
        </w:rPr>
      </w:pPr>
      <w:r>
        <w:rPr>
          <w:rFonts w:hAnsi="Times New Roman" w:eastAsia="楷体_GB2312" w:cs="Times New Roman"/>
          <w:color w:val="auto"/>
          <w:sz w:val="32"/>
          <w:szCs w:val="32"/>
          <w:u w:val="none" w:color="auto"/>
        </w:rPr>
        <w:t>38.提增教育公共服务能力。</w:t>
      </w:r>
      <w:r>
        <w:rPr>
          <w:rFonts w:hAnsi="Times New Roman" w:eastAsia="仿宋_GB2312" w:cs="Times New Roman"/>
          <w:color w:val="auto"/>
          <w:sz w:val="32"/>
          <w:szCs w:val="32"/>
          <w:u w:val="none" w:color="auto"/>
        </w:rPr>
        <w:t>持续推进教育基本公共服务成效提升工作，深入开展“大走访”活动。建立与常住人口适配的公共教育供给机制，构建优质教育服务体系，凝练教育共富成果。完善随迁子女、留守儿童、困境儿童等特殊群体教育关爱机制，推进义务教育控辍保学工作“动态清零”。持续巩固“双减”成果，落实学校和教师减负工作，发布社会事务进校园、校外培训白名单。聚焦群众热点关切，优化沟通渠道，用心用情办理各类群众诉求。做好教育政务服务、老干部、关心下一代、信访稳定、公文处理、建议提案办理、节能减排和机关后勤服务等工作。</w:t>
      </w:r>
    </w:p>
    <w:p w14:paraId="0AFF1F19">
      <w:pPr>
        <w:pStyle w:val="5"/>
        <w:widowControl w:val="0"/>
        <w:spacing w:line="560" w:lineRule="exact"/>
        <w:ind w:firstLine="640" w:firstLineChars="200"/>
        <w:textAlignment w:val="auto"/>
        <w:rPr>
          <w:rFonts w:hAnsi="Times New Roman" w:eastAsia="仿宋_GB2312" w:cs="Times New Roman"/>
          <w:sz w:val="32"/>
          <w:szCs w:val="32"/>
        </w:rPr>
      </w:pPr>
    </w:p>
    <w:p w14:paraId="6CC2B0D5">
      <w:pPr>
        <w:pStyle w:val="5"/>
        <w:widowControl w:val="0"/>
        <w:spacing w:line="560" w:lineRule="exact"/>
        <w:ind w:firstLine="640" w:firstLineChars="200"/>
        <w:textAlignment w:val="auto"/>
        <w:rPr>
          <w:rFonts w:hAnsi="Times New Roman" w:eastAsia="仿宋_GB2312" w:cs="Times New Roman"/>
          <w:sz w:val="32"/>
          <w:szCs w:val="32"/>
        </w:rPr>
      </w:pPr>
      <w:r>
        <w:rPr>
          <w:rFonts w:hAnsi="Times New Roman" w:eastAsia="仿宋_GB2312" w:cs="Times New Roman"/>
          <w:sz w:val="32"/>
          <w:szCs w:val="32"/>
        </w:rPr>
        <w:t>附件：2025年月度主要工作活动安排</w:t>
      </w:r>
    </w:p>
    <w:p w14:paraId="79CCD1BD">
      <w:pPr>
        <w:pStyle w:val="5"/>
        <w:widowControl w:val="0"/>
        <w:spacing w:line="560" w:lineRule="exact"/>
        <w:ind w:firstLine="640" w:firstLineChars="200"/>
        <w:textAlignment w:val="auto"/>
        <w:rPr>
          <w:rFonts w:hAnsi="Times New Roman" w:eastAsia="仿宋_GB2312" w:cs="Times New Roman"/>
          <w:sz w:val="32"/>
          <w:szCs w:val="32"/>
        </w:rPr>
      </w:pPr>
    </w:p>
    <w:p w14:paraId="7F81F7FD">
      <w:pPr>
        <w:spacing w:line="560" w:lineRule="exact"/>
        <w:rPr>
          <w:rFonts w:eastAsia="仿宋_GB2312"/>
          <w:color w:val="000000"/>
          <w:kern w:val="32"/>
          <w:sz w:val="32"/>
          <w:szCs w:val="32"/>
        </w:rPr>
      </w:pPr>
    </w:p>
    <w:p w14:paraId="35F19D02">
      <w:pPr>
        <w:spacing w:line="560" w:lineRule="exact"/>
        <w:rPr>
          <w:rFonts w:eastAsia="仿宋_GB2312"/>
          <w:color w:val="000000"/>
          <w:kern w:val="32"/>
          <w:sz w:val="32"/>
          <w:szCs w:val="32"/>
        </w:rPr>
      </w:pPr>
    </w:p>
    <w:p w14:paraId="34E8C2FD">
      <w:pPr>
        <w:spacing w:line="560" w:lineRule="exact"/>
        <w:rPr>
          <w:rFonts w:eastAsia="仿宋_GB2312"/>
          <w:color w:val="000000"/>
          <w:kern w:val="32"/>
          <w:sz w:val="32"/>
          <w:szCs w:val="32"/>
        </w:rPr>
      </w:pPr>
    </w:p>
    <w:p w14:paraId="6AF4E7B9">
      <w:pPr>
        <w:spacing w:line="560" w:lineRule="exact"/>
        <w:rPr>
          <w:rFonts w:eastAsia="仿宋_GB2312"/>
          <w:color w:val="000000"/>
          <w:kern w:val="32"/>
          <w:sz w:val="32"/>
          <w:szCs w:val="32"/>
        </w:rPr>
      </w:pPr>
    </w:p>
    <w:p w14:paraId="0E5B6644">
      <w:pPr>
        <w:spacing w:line="560" w:lineRule="exact"/>
        <w:rPr>
          <w:rFonts w:eastAsia="仿宋_GB2312"/>
          <w:color w:val="000000"/>
          <w:kern w:val="32"/>
          <w:sz w:val="32"/>
          <w:szCs w:val="32"/>
        </w:rPr>
      </w:pPr>
    </w:p>
    <w:p w14:paraId="0B497A47">
      <w:pPr>
        <w:spacing w:line="560" w:lineRule="exact"/>
        <w:rPr>
          <w:rFonts w:eastAsia="仿宋_GB2312"/>
          <w:color w:val="000000"/>
          <w:kern w:val="32"/>
          <w:sz w:val="32"/>
          <w:szCs w:val="32"/>
        </w:rPr>
      </w:pPr>
    </w:p>
    <w:p w14:paraId="1B912BA4">
      <w:pPr>
        <w:spacing w:line="560" w:lineRule="exact"/>
        <w:rPr>
          <w:rFonts w:eastAsia="仿宋_GB2312"/>
          <w:color w:val="000000"/>
          <w:kern w:val="32"/>
          <w:sz w:val="32"/>
          <w:szCs w:val="32"/>
        </w:rPr>
      </w:pPr>
    </w:p>
    <w:p w14:paraId="47A5224C">
      <w:pPr>
        <w:spacing w:line="560" w:lineRule="exact"/>
        <w:rPr>
          <w:rFonts w:eastAsia="仿宋_GB2312"/>
          <w:color w:val="000000"/>
          <w:kern w:val="32"/>
          <w:sz w:val="32"/>
          <w:szCs w:val="32"/>
        </w:rPr>
      </w:pPr>
    </w:p>
    <w:p w14:paraId="63CCCBCF">
      <w:pPr>
        <w:spacing w:line="560" w:lineRule="exact"/>
        <w:rPr>
          <w:rFonts w:eastAsia="仿宋_GB2312"/>
          <w:color w:val="000000"/>
          <w:kern w:val="32"/>
          <w:sz w:val="32"/>
          <w:szCs w:val="32"/>
        </w:rPr>
      </w:pPr>
      <w:r>
        <w:rPr>
          <w:rFonts w:eastAsia="仿宋_GB2312"/>
          <w:color w:val="000000"/>
          <w:kern w:val="32"/>
          <w:sz w:val="32"/>
          <w:szCs w:val="32"/>
        </w:rPr>
        <w:t>附件</w:t>
      </w:r>
    </w:p>
    <w:p w14:paraId="05288ACC">
      <w:pPr>
        <w:spacing w:line="560" w:lineRule="exact"/>
        <w:jc w:val="center"/>
        <w:rPr>
          <w:rFonts w:eastAsia="方正小标宋_GBK"/>
          <w:color w:val="000000"/>
          <w:kern w:val="32"/>
          <w:sz w:val="44"/>
          <w:szCs w:val="44"/>
        </w:rPr>
      </w:pPr>
      <w:r>
        <w:rPr>
          <w:rFonts w:eastAsia="方正小标宋_GBK"/>
          <w:color w:val="000000"/>
          <w:kern w:val="32"/>
          <w:sz w:val="44"/>
          <w:szCs w:val="44"/>
        </w:rPr>
        <w:t>2025年月度主要工作活动安排</w:t>
      </w:r>
    </w:p>
    <w:p w14:paraId="01E17457">
      <w:pPr>
        <w:spacing w:line="560" w:lineRule="exact"/>
        <w:jc w:val="center"/>
        <w:rPr>
          <w:rFonts w:eastAsia="方正小标宋_GBK"/>
          <w:color w:val="000000"/>
          <w:kern w:val="32"/>
          <w:sz w:val="32"/>
          <w:szCs w:val="32"/>
        </w:rPr>
      </w:pPr>
    </w:p>
    <w:p w14:paraId="52B1D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一月</w:t>
      </w:r>
    </w:p>
    <w:p w14:paraId="10D0D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1.开展送温暖活动，走访慰问离退休干部、特困教职工、困难党员等。</w:t>
      </w:r>
    </w:p>
    <w:p w14:paraId="3BF94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2.组织局领导班子、领导干部、机关科室考核，做好寒假期间中小学规范办学督导和年度事业单位绩效考核工作。</w:t>
      </w:r>
    </w:p>
    <w:p w14:paraId="42408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3.指导学校幼儿园编制2025年度预算，做好生源地信用助学贷款逾期还款工作。</w:t>
      </w:r>
    </w:p>
    <w:p w14:paraId="1327C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4.开展“六声和鸣·书香迎春”师生写春联送春联和帮助脱贫享受政策家庭学生温暖安全过冬系列活动。</w:t>
      </w:r>
    </w:p>
    <w:p w14:paraId="3D75E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5.组织上半年中小学教师资格笔试考试报名。</w:t>
      </w:r>
    </w:p>
    <w:p w14:paraId="7575C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6.召开“三名工程”建设人员座谈会，组织名优班主任优秀案例遴选，组织参加省中小学编程骨干教师培训。</w:t>
      </w:r>
    </w:p>
    <w:p w14:paraId="4E74E4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7.推进“校园天眼”、校门口监控摄像头接入公安“天网”工程建设。</w:t>
      </w:r>
    </w:p>
    <w:p w14:paraId="79836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8.开展全市学前教育教研骨干艺术领域集体教学研训活动。</w:t>
      </w:r>
    </w:p>
    <w:p w14:paraId="36D41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9.开展数字化教学工具应用优秀课例展评，做好教育云平台SSL证书的安装部署和运行。</w:t>
      </w:r>
    </w:p>
    <w:p w14:paraId="689C1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10.开展防一氧化碳中毒、防滑冰溺水、防火灾、烟花爆竹禁放等宣传教育，对寄宿制学校开展消防安全专项整治。</w:t>
      </w:r>
    </w:p>
    <w:p w14:paraId="6B20A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11.公布证照齐全义务教育阶段校外培训机构“白名单”。</w:t>
      </w:r>
    </w:p>
    <w:p w14:paraId="4108D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12.开展全国青少年体育基础数据统计，举办全市校园霹雳舞（街舞）教练员和裁判员培训班。</w:t>
      </w:r>
    </w:p>
    <w:p w14:paraId="665FF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二月</w:t>
      </w:r>
    </w:p>
    <w:p w14:paraId="4B614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1.召开2025年全市教育体育工作会议，召开全市教科研、德育、意识形态等工作会议。</w:t>
      </w:r>
    </w:p>
    <w:p w14:paraId="3415D1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2.召开党组织书记履行全面从严治党责任和抓基层党建工作述职评议会议。</w:t>
      </w:r>
    </w:p>
    <w:p w14:paraId="7A2CA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3.开展2024年度全国教育经费统计和单位决算工作。</w:t>
      </w:r>
    </w:p>
    <w:p w14:paraId="4E7F9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4.开展省市级强镇筑基镇评选、推荐工作，配合市征兵办做好春季征兵政审及验证工作。</w:t>
      </w:r>
    </w:p>
    <w:p w14:paraId="7CF32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5.举行预算一体化平台使用暨业务培训和食堂管理培训。</w:t>
      </w:r>
    </w:p>
    <w:p w14:paraId="050B95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6.开展假期在职教师从事有偿家教专项治理工作，对校园寒假值班工作开展明查暗访。</w:t>
      </w:r>
    </w:p>
    <w:p w14:paraId="62DE0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7.持续开展校园周边安全综合治理工作，对校园饮用水及直饮机进行水质检测。</w:t>
      </w:r>
    </w:p>
    <w:p w14:paraId="4B684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8.组织国家智慧教育平台寒假研修、师德师风专题教育，指导2024年省市级教育教学课题开题。</w:t>
      </w:r>
    </w:p>
    <w:p w14:paraId="251D0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9.组织全市中小学生信息素养提升评比活动、中小学校学生艺术素质测评成绩上报工作。</w:t>
      </w:r>
    </w:p>
    <w:p w14:paraId="19AE0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pacing w:val="-17"/>
          <w:sz w:val="32"/>
          <w:szCs w:val="32"/>
        </w:rPr>
      </w:pPr>
      <w:r>
        <w:rPr>
          <w:rFonts w:eastAsia="仿宋_GB2312"/>
          <w:color w:val="000000"/>
          <w:sz w:val="32"/>
          <w:szCs w:val="32"/>
        </w:rPr>
        <w:t>10.</w:t>
      </w:r>
      <w:r>
        <w:rPr>
          <w:rFonts w:eastAsia="仿宋_GB2312"/>
          <w:color w:val="000000"/>
          <w:spacing w:val="-17"/>
          <w:sz w:val="32"/>
          <w:szCs w:val="32"/>
        </w:rPr>
        <w:t>做好研学基地年审，开展全市幼儿教师“双优”达标基础知识考核。</w:t>
      </w:r>
    </w:p>
    <w:p w14:paraId="6B550E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11.举办全市第二届中小学生运动会足球联赛分赛区比赛。</w:t>
      </w:r>
    </w:p>
    <w:p w14:paraId="31354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12.组织春季开学情况督导。</w:t>
      </w:r>
    </w:p>
    <w:p w14:paraId="07689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 xml:space="preserve">三月   </w:t>
      </w:r>
    </w:p>
    <w:p w14:paraId="68BF1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1.召开全市教体系统清廉学校建设暨警示教育和2025年度全市基层党建、学校安全、职教联盟、学校体育卫生国防教育、艺术教育等工作会议。</w:t>
      </w:r>
    </w:p>
    <w:p w14:paraId="08F678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2.开展中小学及幼儿园教学工作视导，做好各学段开展春季学期资助、特殊困难学生资助管理信息系统填报。</w:t>
      </w:r>
    </w:p>
    <w:p w14:paraId="48A5D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3.做好中小学招生生源摸底调查、控辍保学和省、枣庄市级优秀学生、优秀学生干部、先进班集体评选工作。</w:t>
      </w:r>
    </w:p>
    <w:p w14:paraId="734AA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4.启动财务协作区研讨活动，移交学校2023年凭证账册，归档2024年学校凭证账册。组织开展会计基础业务工作展示。</w:t>
      </w:r>
    </w:p>
    <w:p w14:paraId="03550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5.发布教师招聘简章，赴各大师范类院校开展校园直招，招聘优秀人才，做好第一批次教师资格认定工作。</w:t>
      </w:r>
    </w:p>
    <w:p w14:paraId="22DC1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6.组织高职单招、综合评价招生文化和技能考试以及春季高考技能测试工作，组织各学段优质课评选。</w:t>
      </w:r>
    </w:p>
    <w:p w14:paraId="06607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7.召开全市科学社团建设暨电教信息工作现场推进会，做好雷锋学校创建工作，举办全市科普创新实验暨作品大赛。</w:t>
      </w:r>
    </w:p>
    <w:p w14:paraId="72426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8.强化“三名工程”宣传引领，举办“三名工程”论坛，召开山东省教师教育协同创新重点项目工作推进会，筹建初中英语教师协同发展共同体。</w:t>
      </w:r>
    </w:p>
    <w:p w14:paraId="732EB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9.开展“强镇筑基·送教助研”“教育大讲堂”活动，组织学前教育普及普惠县自评。</w:t>
      </w:r>
    </w:p>
    <w:p w14:paraId="56932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10.举行教科研课题研讨会、开题论证会，组织修订办学水平考核评价实施细则。</w:t>
      </w:r>
    </w:p>
    <w:p w14:paraId="56C33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11.举办校医、保健教师传染病防控及健康教育培训班，开展安全教育日、防欺凌、爱耳日等宣传教育，联合开展春季安全综合大检查和民办学校及校外培训机构年检。</w:t>
      </w:r>
    </w:p>
    <w:p w14:paraId="35E2F6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12.组织全市第二届中小学生运动会</w:t>
      </w:r>
      <w:r>
        <w:rPr>
          <w:rFonts w:hint="default" w:eastAsia="仿宋_GB2312"/>
          <w:color w:val="000000"/>
          <w:sz w:val="32"/>
          <w:szCs w:val="32"/>
        </w:rPr>
        <w:t>霹雳舞（街舞）比赛</w:t>
      </w:r>
      <w:r>
        <w:rPr>
          <w:rFonts w:hint="eastAsia" w:eastAsia="仿宋_GB2312"/>
          <w:color w:val="000000"/>
          <w:sz w:val="32"/>
          <w:szCs w:val="32"/>
          <w:lang w:eastAsia="zh-CN"/>
        </w:rPr>
        <w:t>、</w:t>
      </w:r>
      <w:r>
        <w:rPr>
          <w:rFonts w:eastAsia="仿宋_GB2312"/>
          <w:color w:val="000000"/>
          <w:sz w:val="32"/>
          <w:szCs w:val="32"/>
        </w:rPr>
        <w:t>足球联赛总决赛、篮球分赛区比赛和乒乓球比赛。</w:t>
      </w:r>
    </w:p>
    <w:p w14:paraId="6640C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四月</w:t>
      </w:r>
    </w:p>
    <w:p w14:paraId="679CD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1.召开全市高中招生会议，召开上半年意识形态工作专题会议并组织通讯员、网评员培训。</w:t>
      </w:r>
    </w:p>
    <w:p w14:paraId="2B807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2.组织普通高考考生体检、春季高考模拟考试、中小学学生综合素养评价和职业学校技能大赛。</w:t>
      </w:r>
    </w:p>
    <w:p w14:paraId="17B63E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3.组织高中学校开展生源地信用助学贷款预申请工作。</w:t>
      </w:r>
    </w:p>
    <w:p w14:paraId="30A30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4.做好2025年度发展党员工作，组织工会干部专题培训。</w:t>
      </w:r>
    </w:p>
    <w:p w14:paraId="5567F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5.举办省教师教育协同创新重点项目协同校发展研修班，举行名班主任研修和工作论坛。</w:t>
      </w:r>
    </w:p>
    <w:p w14:paraId="1E6F1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6.组织开展“落实新课标·赢在新课堂”系列活动，启动“互联网+教师专业发展”全员远程研修及报名工作。</w:t>
      </w:r>
    </w:p>
    <w:p w14:paraId="6CC4C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7.组织全市现代教育技术优质课现场评比和微课、课件制作线上评比活动。</w:t>
      </w:r>
    </w:p>
    <w:p w14:paraId="47918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8.组织参加省市教育教学研究课题结题研讨会。</w:t>
      </w:r>
    </w:p>
    <w:p w14:paraId="4EB93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9.联合市消防大队开展消防安全演讲、征文、漫画比赛活动。</w:t>
      </w:r>
    </w:p>
    <w:p w14:paraId="13CEB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10.开展幼儿园分类认定、普惠性民办园认定工作，组织全市幼儿教师“双优”达标集体教学活动考核。</w:t>
      </w:r>
    </w:p>
    <w:p w14:paraId="03A73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11.开展体育类民办非企业单位年审工作和爱国卫生月活动，对学校食堂管理工作开展专项检查。</w:t>
      </w:r>
    </w:p>
    <w:p w14:paraId="521DB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12.组织全市第二届中小学生运动会啦啦操比赛和篮球总决赛，举办中小学生书法、绘画、手工制作等艺术技能大赛和“童语诵同音 共讲普通话”大赛。</w:t>
      </w:r>
    </w:p>
    <w:p w14:paraId="4D6033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五月</w:t>
      </w:r>
    </w:p>
    <w:p w14:paraId="09404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1.开展局管领导班子和领导干部年度考察工作。</w:t>
      </w:r>
    </w:p>
    <w:p w14:paraId="38E92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2.召开农村小规模学校布局调整工作会议。</w:t>
      </w:r>
    </w:p>
    <w:p w14:paraId="6D255A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3.开展“清廉学校建设示范点”创建工作，发放各学段春季学期助学金（免学费）补助资金。</w:t>
      </w:r>
    </w:p>
    <w:p w14:paraId="50521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4.举办宣传思想、网络舆情教育培训和报账员、固定资产管理员、仓库管理员业务培训会。</w:t>
      </w:r>
    </w:p>
    <w:p w14:paraId="221C47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5.召开初中学业水平考试和高考备考指导会，做好高中自主招生、春季高考文化考试与专业知识考试工作。</w:t>
      </w:r>
    </w:p>
    <w:p w14:paraId="5D6FFF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6.组织高中段招生体育、实验操作和信息技术学业考试，部署职教夏季招生和幼儿园招生报名“一网通办”工作</w:t>
      </w:r>
      <w:r>
        <w:rPr>
          <w:rFonts w:eastAsia="仿宋_GB2312"/>
          <w:color w:val="000000"/>
          <w:sz w:val="32"/>
          <w:szCs w:val="32"/>
          <w:lang w:eastAsia="en-US"/>
        </w:rPr>
        <w:t>。</w:t>
      </w:r>
    </w:p>
    <w:p w14:paraId="170DF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w:t>
      </w:r>
      <w:r>
        <w:rPr>
          <w:rFonts w:eastAsia="仿宋_GB2312"/>
          <w:color w:val="000000"/>
          <w:sz w:val="32"/>
          <w:szCs w:val="32"/>
          <w:lang w:eastAsia="en-US"/>
        </w:rPr>
        <w:t>召开学校后勤管理工作会议，安排布置政府采购、校服管理、教辅监管、食堂管理、馆配图书管理等工作。</w:t>
      </w:r>
    </w:p>
    <w:p w14:paraId="3062D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w:t>
      </w:r>
      <w:r>
        <w:rPr>
          <w:rFonts w:eastAsia="仿宋_GB2312"/>
          <w:color w:val="000000"/>
          <w:sz w:val="32"/>
          <w:szCs w:val="32"/>
          <w:lang w:eastAsia="en-US"/>
        </w:rPr>
        <w:t>组织优秀作业案例展示研讨</w:t>
      </w:r>
      <w:r>
        <w:rPr>
          <w:rFonts w:eastAsia="仿宋_GB2312"/>
          <w:color w:val="000000"/>
          <w:sz w:val="32"/>
          <w:szCs w:val="32"/>
        </w:rPr>
        <w:t>和</w:t>
      </w:r>
      <w:r>
        <w:rPr>
          <w:rFonts w:eastAsia="仿宋_GB2312"/>
          <w:color w:val="000000"/>
          <w:sz w:val="32"/>
          <w:szCs w:val="32"/>
          <w:lang w:eastAsia="en-US"/>
        </w:rPr>
        <w:t>新课堂达标示范学科组认证工作</w:t>
      </w:r>
      <w:r>
        <w:rPr>
          <w:rFonts w:eastAsia="仿宋_GB2312"/>
          <w:color w:val="000000"/>
          <w:sz w:val="32"/>
          <w:szCs w:val="32"/>
        </w:rPr>
        <w:t>，做好中小学课后服务督导检查、新团员入团工作。</w:t>
      </w:r>
    </w:p>
    <w:p w14:paraId="1A765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 xml:space="preserve">9.举办全市名班主任高级研修班，举行中小学教师通用基本功大赛和师生中华经典诵吟大赛。   </w:t>
      </w:r>
    </w:p>
    <w:p w14:paraId="14536D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10.开展防灾减灾日、职业教育活动周、学前教育宣传月、心理健康教育月、家庭教育月、民法典宣传月等宣传教育。</w:t>
      </w:r>
    </w:p>
    <w:p w14:paraId="5EF3F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11.做好“同心防溺水”优秀作品征集评选活动，对心理辅导员和班主任开展“心理异常学生事故预防”培训活动。</w:t>
      </w:r>
    </w:p>
    <w:p w14:paraId="720F0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12.举办全市中小学生“班歌嘹亮·唱响善城”班级合唱展演、戏剧专项展示活动和第二届中小学生运动会羽毛球比赛。</w:t>
      </w:r>
    </w:p>
    <w:p w14:paraId="29B9F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六月</w:t>
      </w:r>
    </w:p>
    <w:p w14:paraId="1609E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1.组织教师招聘笔试，做好第二批次教师资格认定工作。</w:t>
      </w:r>
    </w:p>
    <w:p w14:paraId="4FBEF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2.组织庆祝“六一”国际儿童节、第二届中小学生运动会象棋（国际象棋）和排球比赛等活动。</w:t>
      </w:r>
    </w:p>
    <w:p w14:paraId="5990B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3.指导中小学进行教学质量检测，开展“落实新课标·赢在新课堂”系列活动。</w:t>
      </w:r>
    </w:p>
    <w:p w14:paraId="3544E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pacing w:val="-17"/>
          <w:sz w:val="32"/>
          <w:szCs w:val="32"/>
        </w:rPr>
      </w:pPr>
      <w:r>
        <w:rPr>
          <w:rFonts w:eastAsia="仿宋_GB2312"/>
          <w:color w:val="000000"/>
          <w:sz w:val="32"/>
          <w:szCs w:val="32"/>
        </w:rPr>
        <w:t>4.</w:t>
      </w:r>
      <w:r>
        <w:rPr>
          <w:rFonts w:eastAsia="仿宋_GB2312"/>
          <w:color w:val="000000"/>
          <w:spacing w:val="-17"/>
          <w:sz w:val="32"/>
          <w:szCs w:val="32"/>
        </w:rPr>
        <w:t>开展财务往来款项清理工作，查验学校代管款项的收支结算情况。</w:t>
      </w:r>
    </w:p>
    <w:p w14:paraId="61AE0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5.组织资助管理员业务培训，开展生源地助学贷款校县结对帮扶，受理高校毕业生助学贷款提前还款、信息变更工作。</w:t>
      </w:r>
    </w:p>
    <w:p w14:paraId="302AF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6.组织夏季高考及外语口语和高中、初中学业水平考试，做好义务教育、幼教、职教招生宣传和高等教育自学考试网上报名工作。</w:t>
      </w:r>
    </w:p>
    <w:p w14:paraId="4DD52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7.举办青年教师教学竞赛，推荐上报参加“国培”“省培”和“市培”优师选拔工作。</w:t>
      </w:r>
    </w:p>
    <w:p w14:paraId="2421B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8.举行德育工作品牌评选活动，举办班主任基本功大赛。</w:t>
      </w:r>
    </w:p>
    <w:p w14:paraId="293C4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9.组织中职教师参加枣庄市职业学校教师技能大赛，审批民办培训学校招生广告。</w:t>
      </w:r>
    </w:p>
    <w:p w14:paraId="5B702B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pacing w:val="-6"/>
          <w:sz w:val="32"/>
          <w:szCs w:val="32"/>
        </w:rPr>
      </w:pPr>
      <w:r>
        <w:rPr>
          <w:rFonts w:eastAsia="仿宋_GB2312"/>
          <w:color w:val="000000"/>
          <w:sz w:val="32"/>
          <w:szCs w:val="32"/>
        </w:rPr>
        <w:t>10.</w:t>
      </w:r>
      <w:r>
        <w:rPr>
          <w:rFonts w:eastAsia="仿宋_GB2312"/>
          <w:color w:val="000000"/>
          <w:spacing w:val="-6"/>
          <w:sz w:val="32"/>
          <w:szCs w:val="32"/>
        </w:rPr>
        <w:t>开展“安全教育月”和防溺水、防恶劣天气宣教活动，组织协作区安全“交叉检查”，开展网络安全及教辅类APP应用管理检查工作。</w:t>
      </w:r>
    </w:p>
    <w:p w14:paraId="091EB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11.开展教育科研优秀成果、论文及典型案例评选活动。</w:t>
      </w:r>
    </w:p>
    <w:p w14:paraId="6F9B9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12.组织教体系统“6.14”世界献血者日无偿献血工作。</w:t>
      </w:r>
    </w:p>
    <w:p w14:paraId="5E763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七月</w:t>
      </w:r>
    </w:p>
    <w:p w14:paraId="6DFFF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1.启动“善教旗帜”工程，举行“七一建党节”系列宣传活动，开展星级书记、党务工作能手、党员学习标兵、师德标兵、二十佳班主任等评选活动。</w:t>
      </w:r>
    </w:p>
    <w:p w14:paraId="79BB5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2.组织省属公费师范生进行选岗、签订就业协议和教师招聘面试工作。</w:t>
      </w:r>
    </w:p>
    <w:p w14:paraId="0A633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3.组织义务教育中小学招生、普通高中招生录取和高考各批次志愿填报录取工作。</w:t>
      </w:r>
    </w:p>
    <w:p w14:paraId="7CED2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4.举办学区（联区）主任及初中校长领导力高级研修班，组织第八届“滕州教学名师”评选，开展民办学校办学经验交流活动。</w:t>
      </w:r>
    </w:p>
    <w:p w14:paraId="180EB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5.举办中小学校长财务纪律培训，智慧教育云平台学校应用场景、骨干教师、后勤工作人员业务、生源地信用助学贷款大学生志愿服务岗前、责任督学外出培训学习。</w:t>
      </w:r>
    </w:p>
    <w:p w14:paraId="332607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6.开展暑假期间在职教师从事有偿家教和校外培训机构专项整治工作。</w:t>
      </w:r>
    </w:p>
    <w:p w14:paraId="3397C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7.联合开展暑期防溺水督查，对高危险性体育经营项目单位开展安全检查。</w:t>
      </w:r>
    </w:p>
    <w:p w14:paraId="15D34C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8.组织中小学生艺术素质测评工作，开展校园网络安全宣传创意作品评选和第二批中小学首席信息官审核确认活动。</w:t>
      </w:r>
    </w:p>
    <w:p w14:paraId="28F7D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9.建立两市级精品课题库，组织参加2025年基础教育成果申报工作。</w:t>
      </w:r>
    </w:p>
    <w:p w14:paraId="1542F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10.组织第十二届国学小名士经典诵读大赛。</w:t>
      </w:r>
    </w:p>
    <w:p w14:paraId="1F564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11.做好教师参加“互联网+教师专业发展”远程研修必修阶段研修进度调度和幼儿园教师“双优”达标游戏活动考核工作。</w:t>
      </w:r>
    </w:p>
    <w:p w14:paraId="48D901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12.迎接枣庄市对我市政府履职评价和学前教育普及普惠县评估工作。</w:t>
      </w:r>
    </w:p>
    <w:p w14:paraId="5B3DF8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八月</w:t>
      </w:r>
    </w:p>
    <w:p w14:paraId="172D8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1.做好招聘教师档案调取、政审、心理测试、体检、选岗、合同签订、公示以及教师交流轮岗、岗位竞聘等工作。</w:t>
      </w:r>
    </w:p>
    <w:p w14:paraId="41D93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2.召开全市中小学教学工作会议，举办教师师德师风、省市义务教育段新教材、入党积极分子和党员集中培训。</w:t>
      </w:r>
    </w:p>
    <w:p w14:paraId="04180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3.对教育系统固定资产清查，办理资产增加、资产处置等业务，组织办理生源地信用助学贷款和高中毕业生“金秋助学”活动。</w:t>
      </w:r>
    </w:p>
    <w:p w14:paraId="3697A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4.举办新入职教师岗位培训班，组织参加“国培”“省培”“市培”和暑假师德师风培训及中小学骨干教师、班主任培训。</w:t>
      </w:r>
    </w:p>
    <w:p w14:paraId="33BBE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 xml:space="preserve">5.组织2025年夏季、春季高考录取确认及成人报考确认工作，开展校外培训违规巡查、在职有偿补课专项治理。 </w:t>
      </w:r>
    </w:p>
    <w:p w14:paraId="4256E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6.组织中小学德育校长研修，举行第二批“新时代教育数字化领航校长、领航教师”评选。</w:t>
      </w:r>
    </w:p>
    <w:p w14:paraId="44165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7.组织开展2025年全市级课题立项、第一批智慧教育课题结题验收及第二批课题申报工作。</w:t>
      </w:r>
    </w:p>
    <w:p w14:paraId="3A7524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8.指导做好“互联网+教师专业发展”远程研修分散研修工作，开展政府履职省级网评活动。</w:t>
      </w:r>
    </w:p>
    <w:p w14:paraId="1CBE0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9.联合市公安局举办全市校园安保人员暑期培训班，启动网络安全宣传周校园日宣传活动，对暑期安全值班和汛期工作落实情况进行督查，开展水质检测工作。</w:t>
      </w:r>
    </w:p>
    <w:p w14:paraId="7493A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10.做好开学前教学设备采购、现代教育基础设施更新配备和秋季校服订制督查及秋季征兵政审验证工作。</w:t>
      </w:r>
    </w:p>
    <w:p w14:paraId="0E232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11.举办全市足球夏令营暨第六届“红荷杯”足球邀请赛和第二届中小学运动会游泳比赛和庆“八一”全民国防教育宣传周活动。</w:t>
      </w:r>
    </w:p>
    <w:p w14:paraId="696E4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12.组织开展幼小衔接联合教研、中小学省体卫艺综合素质信息填报工作。</w:t>
      </w:r>
    </w:p>
    <w:p w14:paraId="41A44E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九月</w:t>
      </w:r>
    </w:p>
    <w:p w14:paraId="38FB2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1.开展庆祝教师节系列活动，做好师德标兵、优秀教师、“三名工程”等巡回展播。</w:t>
      </w:r>
    </w:p>
    <w:p w14:paraId="3EF725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2.组织秋季开学情况督导，联合开展秋季安全综合大检查，对实验室、危化品和校服、教辅、食堂等管理情况进行检查。开展幼儿园年度检查、督导抽查幼儿园收费及上缴情况。</w:t>
      </w:r>
    </w:p>
    <w:p w14:paraId="1C3AE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3.选派年轻局管干部赴教育发展先进地区挂职学习，开展教研员联系乡村学校活动。</w:t>
      </w:r>
    </w:p>
    <w:p w14:paraId="7165D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4.召开学籍管理暨培训工作专题会，组织各学段、中高职新生学籍注册，做好成人高考网上报名及现场资格审核、第三批次教师资格认定工作。</w:t>
      </w:r>
    </w:p>
    <w:p w14:paraId="1FD50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5.召开下半年意识形态工作专题会议、教科研成果展示交流会、教学工作会议学段推进会、学科教学研讨会。</w:t>
      </w:r>
    </w:p>
    <w:p w14:paraId="06F8F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6.组织申报创建中小学“一校一品”党建品牌示范校，开展抗战胜利纪念日、烈士纪念日主题教育。</w:t>
      </w:r>
    </w:p>
    <w:p w14:paraId="1DFC3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7.召开课题研究结项示范培训会，开展2020～2024年以来期满未结题课题结项工作，对县级课题结题鉴定。</w:t>
      </w:r>
    </w:p>
    <w:p w14:paraId="423AB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8.组织秋季资助困难学生摸底排查、信用助学贷款、合同到期还款、毕业生基层就业学费补偿和国家助学贷款代偿工作。</w:t>
      </w:r>
    </w:p>
    <w:p w14:paraId="66B0B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9.开展控辍保学、文明行为养成教育、师德师风建设、民族团结进步、全国普通话推广宣传周等主题宣传活动，集中开展防校园欺凌教育和特殊群体学生摸排工作。</w:t>
      </w:r>
    </w:p>
    <w:p w14:paraId="3830D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10.开展智慧教育场景应用优秀案例评选，举行全市首届中小学校园科技节，组织参加省高中数学、物理、化学、生物</w:t>
      </w:r>
      <w:r>
        <w:rPr>
          <w:rFonts w:hint="eastAsia" w:eastAsia="仿宋_GB2312"/>
          <w:color w:val="000000"/>
          <w:sz w:val="32"/>
          <w:szCs w:val="32"/>
        </w:rPr>
        <w:t>等</w:t>
      </w:r>
      <w:r>
        <w:rPr>
          <w:rFonts w:eastAsia="仿宋_GB2312"/>
          <w:color w:val="000000"/>
          <w:sz w:val="32"/>
          <w:szCs w:val="32"/>
        </w:rPr>
        <w:t>竞赛。</w:t>
      </w:r>
    </w:p>
    <w:p w14:paraId="0AB5C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11.开展全民国防教育月活动和高中段新生军训活动，举办全市教育工会干部高级研修。</w:t>
      </w:r>
    </w:p>
    <w:p w14:paraId="28DAC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12.举行啦啦操教练员、裁判员培训和第二届中小学生网球、武术套路、跆拳道比赛。</w:t>
      </w:r>
    </w:p>
    <w:p w14:paraId="56446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十月</w:t>
      </w:r>
    </w:p>
    <w:p w14:paraId="17E49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1.开展“庆国庆”系列活动，筹备召开教体工作新闻发布会。</w:t>
      </w:r>
    </w:p>
    <w:p w14:paraId="62B89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pacing w:val="-6"/>
          <w:sz w:val="32"/>
          <w:szCs w:val="32"/>
        </w:rPr>
      </w:pPr>
      <w:r>
        <w:rPr>
          <w:rFonts w:eastAsia="仿宋_GB2312"/>
          <w:color w:val="000000"/>
          <w:sz w:val="32"/>
          <w:szCs w:val="32"/>
        </w:rPr>
        <w:t>2.</w:t>
      </w:r>
      <w:r>
        <w:rPr>
          <w:rFonts w:eastAsia="仿宋_GB2312"/>
          <w:color w:val="000000"/>
          <w:spacing w:val="-6"/>
          <w:sz w:val="32"/>
          <w:szCs w:val="32"/>
        </w:rPr>
        <w:t>开展全国教育事业统计工作，做好强镇筑基改革督导评估工作。</w:t>
      </w:r>
    </w:p>
    <w:p w14:paraId="4C8F1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3.组织开展2026年度预算编制工作，督促推进2025年度预算执行进度。</w:t>
      </w:r>
    </w:p>
    <w:p w14:paraId="16A38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4.举办新优质学校创建现场观摩活动，举办工会工作规范化建设现场会。</w:t>
      </w:r>
    </w:p>
    <w:p w14:paraId="78767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5.办理新招聘教师聘用、入编工资等手续。</w:t>
      </w:r>
    </w:p>
    <w:p w14:paraId="3696D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6.组织开展全市小学名校长领导力高级研修、局机关法治教育、教科研专题培训。</w:t>
      </w:r>
    </w:p>
    <w:p w14:paraId="3A700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7.组织参加第86届中国教育装备展示会，开展财务协作区业务交流、课题研究总结交流和教育教学信息化交流研讨活动。</w:t>
      </w:r>
    </w:p>
    <w:p w14:paraId="09F0B4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8.组织开展秋季奖助学金（免学费）评审，做好2026年各项资助资金预算项目申报、中职教育国家奖学金发放工作。</w:t>
      </w:r>
    </w:p>
    <w:p w14:paraId="5D8CB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9.开展“优秀科学社团”、枣庄优质课评选和第二批县级高水平学生艺术团遴选建设工作。</w:t>
      </w:r>
    </w:p>
    <w:p w14:paraId="6E39E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10.做好2026年普通高考网上报名及现场审核工作，开展“强镇筑基 送教助研”活动和全市教育科学研究课题结题鉴定、认证。</w:t>
      </w:r>
    </w:p>
    <w:p w14:paraId="2263B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11.举办全市第二届中小学生运动会田径、武术散打和摔跤比赛，开展高危险性体育经营项目单位安全检查。</w:t>
      </w:r>
    </w:p>
    <w:p w14:paraId="3CB104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12.监测县域义务教育均衡发展状况。</w:t>
      </w:r>
    </w:p>
    <w:p w14:paraId="5DB0DC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十一月</w:t>
      </w:r>
    </w:p>
    <w:p w14:paraId="5ECF2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1.召开全市教体系统基本公共服务成效提升、控辍保学、课后服务工作推进会，开展市直机关“四强”党支部创建工作。</w:t>
      </w:r>
    </w:p>
    <w:p w14:paraId="648EF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2.做好中小学教师初级职称认定、中高级职称评审工作，组织宣传、舆情处置和教育系统网络安全、教师数字素养提升培训。</w:t>
      </w:r>
    </w:p>
    <w:p w14:paraId="1329C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3.组织2026年高考艺术类专业统考，高考考生资格审查及下半年教师资格证面试报名、继续教育学分确认审核登记工作。</w:t>
      </w:r>
    </w:p>
    <w:p w14:paraId="164BE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4.组织开展“落实新课标·赢在新课堂”系列活动，筹建小学科学教师协同发展共同体，举行1～3年教龄教师、科学教育创新优质课评选活动。</w:t>
      </w:r>
    </w:p>
    <w:p w14:paraId="5F1DC0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5.开展全市幼儿园保教质量自评、备案工作，举行幼儿园课程建设交流研讨活动。</w:t>
      </w:r>
    </w:p>
    <w:p w14:paraId="0477E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6.组织课题期满结项和参加省市规划课题确立工作，做好省市级研学基地、省级乡村温馨校园评选推荐工作。</w:t>
      </w:r>
    </w:p>
    <w:p w14:paraId="3F7C9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7.开展中职学校国家助学金及免学费受助人数核查，发放各学段秋季学期助学金（免学费）补助资金。</w:t>
      </w:r>
    </w:p>
    <w:p w14:paraId="7CE1A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8.组织“119消防安全日”宣教活动和协作区“交叉检查”，联合开展接送学生车辆专项整治和校外培训机构安全检查。</w:t>
      </w:r>
    </w:p>
    <w:p w14:paraId="2715D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9.组织“青少年健康数据管理系统”信息上传和秋冬季常见病、重点传染病防控督查工作。</w:t>
      </w:r>
    </w:p>
    <w:p w14:paraId="1412A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10.开展名班主任工作室活动展示、家庭教育主题宣讲、“慈善爱心捐款”活动。</w:t>
      </w:r>
    </w:p>
    <w:p w14:paraId="15797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11.举办全市中小学生硬笔书法、个人才艺比赛和第二届中小学运动会柔道、举重、拳击比赛。</w:t>
      </w:r>
    </w:p>
    <w:p w14:paraId="0CB67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12.对“互联网+监管”“双随机一公开”开展情况进行监管。</w:t>
      </w:r>
    </w:p>
    <w:p w14:paraId="039C0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eastAsia="黑体"/>
          <w:color w:val="000000"/>
          <w:sz w:val="32"/>
          <w:szCs w:val="32"/>
        </w:rPr>
        <w:t>十二月</w:t>
      </w:r>
    </w:p>
    <w:p w14:paraId="507364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pacing w:val="-6"/>
          <w:sz w:val="32"/>
          <w:szCs w:val="32"/>
        </w:rPr>
      </w:pPr>
      <w:r>
        <w:rPr>
          <w:rFonts w:eastAsia="仿宋_GB2312"/>
          <w:color w:val="000000"/>
          <w:sz w:val="32"/>
          <w:szCs w:val="32"/>
        </w:rPr>
        <w:t>1.</w:t>
      </w:r>
      <w:r>
        <w:rPr>
          <w:rFonts w:eastAsia="仿宋_GB2312"/>
          <w:color w:val="000000"/>
          <w:spacing w:val="-6"/>
          <w:sz w:val="32"/>
          <w:szCs w:val="32"/>
        </w:rPr>
        <w:t>分析学校预算执行情况，做好年末结账、财务督导和</w:t>
      </w:r>
      <w:r>
        <w:rPr>
          <w:rFonts w:eastAsia="仿宋_GB2312"/>
          <w:color w:val="000000"/>
          <w:spacing w:val="-6"/>
          <w:sz w:val="32"/>
          <w:szCs w:val="32"/>
          <w:lang w:eastAsia="en-US"/>
        </w:rPr>
        <w:t>采购工作。</w:t>
      </w:r>
    </w:p>
    <w:p w14:paraId="12158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2.做好教师资格注册和国家智慧教育平台寒假研修工作。</w:t>
      </w:r>
    </w:p>
    <w:p w14:paraId="2F57C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3.总结基层党建和全面从严治党工作。</w:t>
      </w:r>
    </w:p>
    <w:p w14:paraId="66BF90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4.组织填写山东省义务教育学生综合素质评价系统，做好中小学年度基础数据统计、汇总工作。</w:t>
      </w:r>
    </w:p>
    <w:p w14:paraId="722FC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5.组织冬季普通高中学业水平合格考试，举行全市教学教研专题论坛，开展全市科学专项课题结项工作。</w:t>
      </w:r>
    </w:p>
    <w:p w14:paraId="4B31B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6.组织安全协作区开展“交叉检查”，做好隐患整改复查。</w:t>
      </w:r>
    </w:p>
    <w:p w14:paraId="7EE20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7.审核各学校省体质健康平台上报数据和资助系统年度资助数据，做好普通高校毕业生信用助学贷款年度还款工作。</w:t>
      </w:r>
    </w:p>
    <w:p w14:paraId="3A1C1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8.组织开展学宪法讲宪法、宪法宣传周、122全国交通安全日、世界艾滋病日等主题宣传教育活动。</w:t>
      </w:r>
    </w:p>
    <w:p w14:paraId="0B84D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9.督导职业教育院校教职工绩效工资改革及编制员额自主招聘政策落实情况。</w:t>
      </w:r>
    </w:p>
    <w:p w14:paraId="7F891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10.组织工会活动，做好困难教职工帮扶及送温暖工作。</w:t>
      </w:r>
    </w:p>
    <w:p w14:paraId="07199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11.组织2025年度全市教育工作综合考核评价。</w:t>
      </w:r>
    </w:p>
    <w:p w14:paraId="7392A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12.全面总结2025年度全市教育体育工作，各科室做好工作总结，统计各项数据及荣誉奖励。</w:t>
      </w:r>
    </w:p>
    <w:p w14:paraId="00B71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7D894CFF">
      <w:pPr>
        <w:spacing w:after="292" w:afterLines="50" w:line="477" w:lineRule="exact"/>
        <w:ind w:firstLine="1120" w:firstLineChars="200"/>
        <w:rPr>
          <w:rFonts w:hint="eastAsia" w:ascii="仿宋_GB2312" w:hAnsi="仿宋_GB2312" w:eastAsia="仿宋_GB2312" w:cs="仿宋_GB2312"/>
          <w:color w:val="000000"/>
          <w:sz w:val="56"/>
          <w:szCs w:val="56"/>
        </w:rPr>
      </w:pPr>
    </w:p>
    <w:p w14:paraId="783E7A0B">
      <w:pPr>
        <w:spacing w:after="292" w:afterLines="50" w:line="477" w:lineRule="exact"/>
        <w:ind w:firstLine="1120" w:firstLineChars="200"/>
        <w:rPr>
          <w:rFonts w:hint="eastAsia" w:ascii="仿宋_GB2312" w:hAnsi="仿宋_GB2312" w:eastAsia="仿宋_GB2312" w:cs="仿宋_GB2312"/>
          <w:color w:val="000000"/>
          <w:sz w:val="56"/>
          <w:szCs w:val="56"/>
        </w:rPr>
      </w:pPr>
    </w:p>
    <w:p w14:paraId="686DA9DA">
      <w:pPr>
        <w:spacing w:after="292" w:afterLines="50" w:line="477" w:lineRule="exact"/>
        <w:ind w:firstLine="1120" w:firstLineChars="200"/>
        <w:rPr>
          <w:rFonts w:hint="eastAsia" w:ascii="仿宋_GB2312" w:hAnsi="仿宋_GB2312" w:eastAsia="仿宋_GB2312" w:cs="仿宋_GB2312"/>
          <w:color w:val="000000"/>
          <w:sz w:val="56"/>
          <w:szCs w:val="56"/>
        </w:rPr>
      </w:pPr>
    </w:p>
    <w:p w14:paraId="3F8E46A7">
      <w:pPr>
        <w:pStyle w:val="3"/>
        <w:rPr>
          <w:rFonts w:hint="eastAsia"/>
          <w:lang w:val="en-US" w:eastAsia="zh-CN"/>
        </w:rPr>
      </w:pPr>
    </w:p>
    <w:p w14:paraId="5C74A040">
      <w:pPr>
        <w:pStyle w:val="3"/>
        <w:rPr>
          <w:rFonts w:hint="eastAsia"/>
          <w:lang w:val="en-US" w:eastAsia="zh-CN"/>
        </w:rPr>
      </w:pPr>
    </w:p>
    <w:p w14:paraId="430DEE07">
      <w:pPr>
        <w:pStyle w:val="3"/>
        <w:rPr>
          <w:rFonts w:hint="eastAsia"/>
          <w:lang w:val="en-US" w:eastAsia="zh-CN"/>
        </w:rPr>
      </w:pPr>
    </w:p>
    <w:p w14:paraId="52CC8761">
      <w:pPr>
        <w:pStyle w:val="3"/>
        <w:rPr>
          <w:rFonts w:hint="eastAsia"/>
          <w:lang w:val="en-US" w:eastAsia="zh-CN"/>
        </w:rPr>
      </w:pPr>
    </w:p>
    <w:p w14:paraId="2A94212C">
      <w:pPr>
        <w:pStyle w:val="3"/>
        <w:rPr>
          <w:rFonts w:hint="eastAsia"/>
          <w:lang w:val="en-US" w:eastAsia="zh-CN"/>
        </w:rPr>
      </w:pPr>
    </w:p>
    <w:p w14:paraId="09DFF235">
      <w:pPr>
        <w:pStyle w:val="3"/>
        <w:rPr>
          <w:rFonts w:hint="eastAsia"/>
          <w:lang w:val="en-US" w:eastAsia="zh-CN"/>
        </w:rPr>
      </w:pPr>
    </w:p>
    <w:p w14:paraId="290DD55C">
      <w:pPr>
        <w:pStyle w:val="3"/>
        <w:rPr>
          <w:rFonts w:hint="eastAsia"/>
          <w:lang w:val="en-US" w:eastAsia="zh-CN"/>
        </w:rPr>
      </w:pPr>
    </w:p>
    <w:p w14:paraId="57BA7D54">
      <w:pPr>
        <w:pStyle w:val="3"/>
        <w:rPr>
          <w:rFonts w:hint="eastAsia"/>
          <w:lang w:val="en-US" w:eastAsia="zh-CN"/>
        </w:rPr>
      </w:pPr>
    </w:p>
    <w:p w14:paraId="7F5EDB5E">
      <w:pPr>
        <w:pStyle w:val="3"/>
        <w:rPr>
          <w:rFonts w:hint="eastAsia"/>
          <w:lang w:val="en-US" w:eastAsia="zh-CN"/>
        </w:rPr>
      </w:pPr>
    </w:p>
    <w:p w14:paraId="745DF98A">
      <w:pPr>
        <w:pStyle w:val="3"/>
        <w:rPr>
          <w:rFonts w:hint="eastAsia"/>
          <w:lang w:val="en-US" w:eastAsia="zh-CN"/>
        </w:rPr>
      </w:pPr>
    </w:p>
    <w:p w14:paraId="21C86D76">
      <w:pPr>
        <w:pStyle w:val="3"/>
        <w:rPr>
          <w:rFonts w:hint="eastAsia"/>
          <w:lang w:val="en-US" w:eastAsia="zh-CN"/>
        </w:rPr>
      </w:pPr>
    </w:p>
    <w:p w14:paraId="712F21CC">
      <w:pPr>
        <w:pStyle w:val="3"/>
        <w:rPr>
          <w:rFonts w:hint="eastAsia"/>
          <w:lang w:val="en-US" w:eastAsia="zh-CN"/>
        </w:rPr>
      </w:pPr>
    </w:p>
    <w:p w14:paraId="20C2C1F1">
      <w:pPr>
        <w:widowControl w:val="0"/>
        <w:spacing w:line="240" w:lineRule="auto"/>
        <w:rPr>
          <w:rFonts w:hint="eastAsia" w:ascii="Calibri" w:hAnsi="Calibri" w:cs="Times New Roman"/>
          <w:kern w:val="2"/>
          <w:szCs w:val="20"/>
        </w:rPr>
      </w:pPr>
    </w:p>
    <w:p w14:paraId="24C6B727">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仿宋_GB2312" w:hAnsi="仿宋_GB2312" w:eastAsia="仿宋_GB2312" w:cs="仿宋_GB2312"/>
          <w:color w:val="auto"/>
          <w:spacing w:val="0"/>
          <w:kern w:val="2"/>
          <w:sz w:val="28"/>
          <w:szCs w:val="28"/>
          <w:lang w:val="en-US" w:eastAsia="zh-CN"/>
        </w:rPr>
      </w:pPr>
      <w:r>
        <w:rPr>
          <w:rFonts w:hint="default" w:ascii="仿宋_GB2312" w:hAnsi="仿宋_GB2312" w:eastAsia="仿宋_GB2312" w:cs="仿宋_GB2312"/>
          <w:color w:val="auto"/>
          <w:spacing w:val="0"/>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43815</wp:posOffset>
                </wp:positionV>
                <wp:extent cx="5539740" cy="635"/>
                <wp:effectExtent l="0" t="0" r="0" b="0"/>
                <wp:wrapNone/>
                <wp:docPr id="3" name="直接连接符 8"/>
                <wp:cNvGraphicFramePr/>
                <a:graphic xmlns:a="http://schemas.openxmlformats.org/drawingml/2006/main">
                  <a:graphicData uri="http://schemas.microsoft.com/office/word/2010/wordprocessingShape">
                    <wps:wsp>
                      <wps:cNvCnPr/>
                      <wps:spPr>
                        <a:xfrm flipV="1">
                          <a:off x="0" y="0"/>
                          <a:ext cx="5539740" cy="635"/>
                        </a:xfrm>
                        <a:prstGeom prst="line">
                          <a:avLst/>
                        </a:prstGeom>
                        <a:ln w="12599" cap="flat" cmpd="sng">
                          <a:solidFill>
                            <a:srgbClr val="000000"/>
                          </a:solidFill>
                          <a:prstDash val="solid"/>
                          <a:round/>
                          <a:headEnd type="none" w="med" len="med"/>
                          <a:tailEnd type="none" w="med" len="med"/>
                        </a:ln>
                      </wps:spPr>
                      <wps:bodyPr upright="1"/>
                    </wps:wsp>
                  </a:graphicData>
                </a:graphic>
              </wp:anchor>
            </w:drawing>
          </mc:Choice>
          <mc:Fallback>
            <w:pict>
              <v:line id="直接连接符 8" o:spid="_x0000_s1026" o:spt="20" style="position:absolute;left:0pt;flip:y;margin-left:0.85pt;margin-top:3.45pt;height:0.05pt;width:436.2pt;z-index:251660288;mso-width-relative:page;mso-height-relative:page;" filled="f" stroked="t" coordsize="21600,21600" o:gfxdata="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GsgN0gAAAAUBAAAPAAAAAAAAAAEAIAAAACIAAABkcnMvZG93bnJl&#10;di54bWxQSwECFAAUAAAACACHTuJAWNRHagMCAAD7AwAADgAAAAAAAAABACAAAAAhAQAAZHJzL2Uy&#10;b0RvYy54bWxQSwUGAAAAAAYABgBZAQAAlgU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28"/>
          <w:szCs w:val="28"/>
        </w:rPr>
        <w:t>公开选项：</w:t>
      </w:r>
      <w:r>
        <w:rPr>
          <w:rFonts w:hint="eastAsia" w:ascii="仿宋_GB2312" w:hAnsi="仿宋_GB2312" w:eastAsia="仿宋_GB2312" w:cs="仿宋_GB2312"/>
          <w:color w:val="auto"/>
          <w:spacing w:val="0"/>
          <w:kern w:val="2"/>
          <w:sz w:val="28"/>
          <w:szCs w:val="28"/>
          <w:lang w:val="en-US" w:eastAsia="zh-CN"/>
        </w:rPr>
        <w:t>主动公开</w:t>
      </w:r>
    </w:p>
    <w:p w14:paraId="659DE8D7">
      <w:pPr>
        <w:keepNext w:val="0"/>
        <w:keepLines w:val="0"/>
        <w:pageBreakBefore w:val="0"/>
        <w:widowControl/>
        <w:kinsoku/>
        <w:wordWrap/>
        <w:overflowPunct/>
        <w:topLinePunct w:val="0"/>
        <w:autoSpaceDE/>
        <w:autoSpaceDN/>
        <w:bidi w:val="0"/>
        <w:adjustRightInd/>
        <w:snapToGrid/>
        <w:spacing w:line="560" w:lineRule="exact"/>
        <w:ind w:firstLine="280" w:firstLineChars="100"/>
        <w:jc w:val="both"/>
        <w:textAlignment w:val="auto"/>
        <w:rPr>
          <w:rFonts w:hint="eastAsia" w:ascii="仿宋" w:hAnsi="仿宋" w:eastAsia="仿宋" w:cs="仿宋"/>
          <w:sz w:val="32"/>
          <w:szCs w:val="32"/>
        </w:rPr>
      </w:pPr>
      <w:r>
        <w:rPr>
          <w:rFonts w:hint="default" w:ascii="仿宋_GB2312" w:hAnsi="仿宋_GB2312" w:eastAsia="仿宋_GB2312" w:cs="仿宋_GB2312"/>
          <w:color w:val="auto"/>
          <w:spacing w:val="0"/>
          <w:kern w:val="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466090</wp:posOffset>
                </wp:positionV>
                <wp:extent cx="5539740" cy="6985"/>
                <wp:effectExtent l="0" t="0" r="0" b="0"/>
                <wp:wrapNone/>
                <wp:docPr id="4" name="直接连接符 7"/>
                <wp:cNvGraphicFramePr/>
                <a:graphic xmlns:a="http://schemas.openxmlformats.org/drawingml/2006/main">
                  <a:graphicData uri="http://schemas.microsoft.com/office/word/2010/wordprocessingShape">
                    <wps:wsp>
                      <wps:cNvCnPr/>
                      <wps:spPr>
                        <a:xfrm flipV="1">
                          <a:off x="0" y="0"/>
                          <a:ext cx="5539740" cy="6985"/>
                        </a:xfrm>
                        <a:prstGeom prst="line">
                          <a:avLst/>
                        </a:prstGeom>
                        <a:ln w="12599" cap="flat" cmpd="sng">
                          <a:solidFill>
                            <a:srgbClr val="000000"/>
                          </a:solidFill>
                          <a:prstDash val="solid"/>
                          <a:round/>
                          <a:headEnd type="none" w="med" len="med"/>
                          <a:tailEnd type="none" w="med" len="med"/>
                        </a:ln>
                      </wps:spPr>
                      <wps:bodyPr upright="1"/>
                    </wps:wsp>
                  </a:graphicData>
                </a:graphic>
              </wp:anchor>
            </w:drawing>
          </mc:Choice>
          <mc:Fallback>
            <w:pict>
              <v:line id="直接连接符 7" o:spid="_x0000_s1026" o:spt="20" style="position:absolute;left:0pt;flip:y;margin-left:0.75pt;margin-top:36.7pt;height:0.55pt;width:436.2pt;z-index:251661312;mso-width-relative:page;mso-height-relative:page;" filled="f" stroked="t" coordsize="21600,21600" o:gfxdata="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7Q5K1AAAAAcBAAAPAAAAAAAAAAEAIAAAACIAAABkcnMvZG93&#10;bnJldi54bWxQSwECFAAUAAAACACHTuJAoEtghAQCAAD8AwAADgAAAAAAAAABACAAAAAjAQAAZHJz&#10;L2Uyb0RvYy54bWxQSwUGAAAAAAYABgBZAQAAmQUAAAAA&#10;">
                <v:fill on="f" focussize="0,0"/>
                <v:stroke weight="0.992047244094488pt" color="#000000" joinstyle="round"/>
                <v:imagedata o:title=""/>
                <o:lock v:ext="edit" aspectratio="f"/>
              </v:line>
            </w:pict>
          </mc:Fallback>
        </mc:AlternateContent>
      </w:r>
      <w:r>
        <w:rPr>
          <w:rFonts w:hint="default" w:ascii="仿宋_GB2312" w:hAnsi="仿宋_GB2312" w:eastAsia="仿宋_GB2312" w:cs="仿宋_GB2312"/>
          <w:color w:val="auto"/>
          <w:spacing w:val="0"/>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39370</wp:posOffset>
                </wp:positionV>
                <wp:extent cx="5539740" cy="6985"/>
                <wp:effectExtent l="0" t="4445" r="7620" b="11430"/>
                <wp:wrapNone/>
                <wp:docPr id="5" name="直接连接符 6"/>
                <wp:cNvGraphicFramePr/>
                <a:graphic xmlns:a="http://schemas.openxmlformats.org/drawingml/2006/main">
                  <a:graphicData uri="http://schemas.microsoft.com/office/word/2010/wordprocessingShape">
                    <wps:wsp>
                      <wps:cNvCnPr/>
                      <wps:spPr>
                        <a:xfrm flipV="1">
                          <a:off x="0" y="0"/>
                          <a:ext cx="5539740" cy="6985"/>
                        </a:xfrm>
                        <a:prstGeom prst="line">
                          <a:avLst/>
                        </a:prstGeom>
                        <a:ln w="7199"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flip:y;margin-left:0.15pt;margin-top:3.1pt;height:0.55pt;width:436.2pt;z-index:251659264;mso-width-relative:page;mso-height-relative:page;" filled="f" stroked="t" coordsize="21600,21600" o:gfxdata="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qKNaNUAAAAEAQAADwAAAAAAAAABACAAAAAiAAAAZHJzL2Rv&#10;d25yZXYueG1sUEsBAhQAFAAAAAgAh07iQCohsgcEAgAA+wMAAA4AAAAAAAAAAQAgAAAAJAEAAGRy&#10;cy9lMm9Eb2MueG1sUEsFBgAAAAAGAAYAWQEAAJoFAAAAAA==&#10;">
                <v:fill on="f" focussize="0,0"/>
                <v:stroke weight="0.566850393700787pt"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28"/>
          <w:szCs w:val="28"/>
        </w:rPr>
        <w:t xml:space="preserve">滕州市教育和体育局办公室      </w:t>
      </w:r>
      <w:r>
        <w:rPr>
          <w:rFonts w:hint="eastAsia" w:ascii="仿宋_GB2312" w:hAnsi="仿宋_GB2312" w:eastAsia="仿宋_GB2312" w:cs="仿宋_GB2312"/>
          <w:color w:val="auto"/>
          <w:spacing w:val="0"/>
          <w:kern w:val="2"/>
          <w:sz w:val="28"/>
          <w:szCs w:val="28"/>
          <w:lang w:val="en-US" w:eastAsia="zh-CN"/>
        </w:rPr>
        <w:t xml:space="preserve">      </w:t>
      </w:r>
      <w:r>
        <w:rPr>
          <w:rFonts w:hint="eastAsia" w:ascii="仿宋_GB2312" w:hAnsi="仿宋_GB2312" w:eastAsia="仿宋_GB2312" w:cs="仿宋_GB2312"/>
          <w:color w:val="auto"/>
          <w:spacing w:val="0"/>
          <w:kern w:val="2"/>
          <w:sz w:val="28"/>
          <w:szCs w:val="28"/>
        </w:rPr>
        <w:t xml:space="preserve"> </w:t>
      </w:r>
      <w:r>
        <w:rPr>
          <w:rFonts w:hint="eastAsia" w:ascii="仿宋_GB2312" w:hAnsi="仿宋_GB2312" w:eastAsia="仿宋_GB2312" w:cs="仿宋_GB2312"/>
          <w:color w:val="auto"/>
          <w:spacing w:val="0"/>
          <w:kern w:val="2"/>
          <w:sz w:val="28"/>
          <w:szCs w:val="28"/>
          <w:lang w:val="en-US" w:eastAsia="zh-CN"/>
        </w:rPr>
        <w:t xml:space="preserve">  </w:t>
      </w:r>
      <w:r>
        <w:rPr>
          <w:rFonts w:hint="eastAsia" w:ascii="仿宋_GB2312" w:hAnsi="仿宋_GB2312" w:eastAsia="仿宋_GB2312" w:cs="仿宋_GB2312"/>
          <w:color w:val="auto"/>
          <w:spacing w:val="0"/>
          <w:kern w:val="2"/>
          <w:sz w:val="28"/>
          <w:szCs w:val="28"/>
        </w:rPr>
        <w:t>202</w:t>
      </w:r>
      <w:r>
        <w:rPr>
          <w:rFonts w:hint="eastAsia" w:ascii="仿宋_GB2312" w:hAnsi="仿宋_GB2312" w:eastAsia="仿宋_GB2312" w:cs="仿宋_GB2312"/>
          <w:color w:val="auto"/>
          <w:spacing w:val="0"/>
          <w:kern w:val="2"/>
          <w:sz w:val="28"/>
          <w:szCs w:val="28"/>
          <w:lang w:val="en-US" w:eastAsia="zh-CN"/>
        </w:rPr>
        <w:t>5</w:t>
      </w:r>
      <w:r>
        <w:rPr>
          <w:rFonts w:hint="eastAsia" w:ascii="仿宋_GB2312" w:hAnsi="仿宋_GB2312" w:eastAsia="仿宋_GB2312" w:cs="仿宋_GB2312"/>
          <w:color w:val="auto"/>
          <w:spacing w:val="0"/>
          <w:kern w:val="2"/>
          <w:sz w:val="28"/>
          <w:szCs w:val="28"/>
        </w:rPr>
        <w:t>年</w:t>
      </w:r>
      <w:r>
        <w:rPr>
          <w:rFonts w:hint="eastAsia" w:ascii="仿宋_GB2312" w:hAnsi="仿宋_GB2312" w:eastAsia="仿宋_GB2312" w:cs="仿宋_GB2312"/>
          <w:color w:val="auto"/>
          <w:spacing w:val="0"/>
          <w:kern w:val="2"/>
          <w:sz w:val="28"/>
          <w:szCs w:val="28"/>
          <w:lang w:val="en-US" w:eastAsia="zh-CN"/>
        </w:rPr>
        <w:t>2</w:t>
      </w:r>
      <w:r>
        <w:rPr>
          <w:rFonts w:hint="eastAsia" w:ascii="仿宋_GB2312" w:hAnsi="仿宋_GB2312" w:eastAsia="仿宋_GB2312" w:cs="仿宋_GB2312"/>
          <w:color w:val="auto"/>
          <w:spacing w:val="0"/>
          <w:kern w:val="2"/>
          <w:sz w:val="28"/>
          <w:szCs w:val="28"/>
        </w:rPr>
        <w:t>月</w:t>
      </w:r>
      <w:r>
        <w:rPr>
          <w:rFonts w:hint="eastAsia" w:ascii="仿宋_GB2312" w:hAnsi="仿宋_GB2312" w:eastAsia="仿宋_GB2312" w:cs="仿宋_GB2312"/>
          <w:color w:val="auto"/>
          <w:spacing w:val="0"/>
          <w:kern w:val="2"/>
          <w:sz w:val="28"/>
          <w:szCs w:val="28"/>
          <w:lang w:val="en-US" w:eastAsia="zh-CN"/>
        </w:rPr>
        <w:t>10</w:t>
      </w:r>
      <w:r>
        <w:rPr>
          <w:rFonts w:hint="eastAsia" w:ascii="仿宋_GB2312" w:hAnsi="仿宋_GB2312" w:eastAsia="仿宋_GB2312" w:cs="仿宋_GB2312"/>
          <w:color w:val="auto"/>
          <w:spacing w:val="0"/>
          <w:kern w:val="2"/>
          <w:sz w:val="28"/>
          <w:szCs w:val="28"/>
        </w:rPr>
        <w:t>日印发</w:t>
      </w:r>
    </w:p>
    <w:sectPr>
      <w:footerReference r:id="rId3" w:type="default"/>
      <w:pgSz w:w="11906" w:h="16838"/>
      <w:pgMar w:top="2098" w:right="1474" w:bottom="1984" w:left="1587"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4065">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DF467">
                          <w:pPr>
                            <w:pStyle w:val="6"/>
                            <w:keepNext w:val="0"/>
                            <w:keepLines w:val="0"/>
                            <w:pageBreakBefore w:val="0"/>
                            <w:widowControl w:val="0"/>
                            <w:kinsoku/>
                            <w:wordWrap/>
                            <w:overflowPunct/>
                            <w:topLinePunct w:val="0"/>
                            <w:autoSpaceDE/>
                            <w:autoSpaceDN/>
                            <w:bidi w:val="0"/>
                            <w:adjustRightInd/>
                            <w:snapToGrid w:val="0"/>
                            <w:ind w:left="420" w:leftChars="20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BDF467">
                    <w:pPr>
                      <w:pStyle w:val="6"/>
                      <w:keepNext w:val="0"/>
                      <w:keepLines w:val="0"/>
                      <w:pageBreakBefore w:val="0"/>
                      <w:widowControl w:val="0"/>
                      <w:kinsoku/>
                      <w:wordWrap/>
                      <w:overflowPunct/>
                      <w:topLinePunct w:val="0"/>
                      <w:autoSpaceDE/>
                      <w:autoSpaceDN/>
                      <w:bidi w:val="0"/>
                      <w:adjustRightInd/>
                      <w:snapToGrid w:val="0"/>
                      <w:ind w:left="420" w:leftChars="200" w:right="420" w:rightChars="20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YTQ5YjA0Nzg5M2RmZDc1NTMzN2I4NmY0YjE4YTUifQ=="/>
  </w:docVars>
  <w:rsids>
    <w:rsidRoot w:val="75BD3FFF"/>
    <w:rsid w:val="00276E33"/>
    <w:rsid w:val="010C299E"/>
    <w:rsid w:val="028C1CEE"/>
    <w:rsid w:val="035241C7"/>
    <w:rsid w:val="054F78AC"/>
    <w:rsid w:val="06287F27"/>
    <w:rsid w:val="07721B03"/>
    <w:rsid w:val="08B87139"/>
    <w:rsid w:val="0A2E2ACA"/>
    <w:rsid w:val="0C9055C1"/>
    <w:rsid w:val="0DD34442"/>
    <w:rsid w:val="0E3B2B3C"/>
    <w:rsid w:val="13D352B8"/>
    <w:rsid w:val="14BC627C"/>
    <w:rsid w:val="16491AC3"/>
    <w:rsid w:val="16674E47"/>
    <w:rsid w:val="16D54132"/>
    <w:rsid w:val="175F68D1"/>
    <w:rsid w:val="17650973"/>
    <w:rsid w:val="18E27F84"/>
    <w:rsid w:val="195D3ECD"/>
    <w:rsid w:val="196D6F46"/>
    <w:rsid w:val="19B11748"/>
    <w:rsid w:val="1AE45BF4"/>
    <w:rsid w:val="1E051B1A"/>
    <w:rsid w:val="20D066D4"/>
    <w:rsid w:val="20E60287"/>
    <w:rsid w:val="20F9352C"/>
    <w:rsid w:val="22312C1E"/>
    <w:rsid w:val="24B14C2D"/>
    <w:rsid w:val="24FF3FBE"/>
    <w:rsid w:val="267C03C3"/>
    <w:rsid w:val="28682AF5"/>
    <w:rsid w:val="29B92A03"/>
    <w:rsid w:val="2BCC3961"/>
    <w:rsid w:val="2E6A2D37"/>
    <w:rsid w:val="2FA71270"/>
    <w:rsid w:val="30D51399"/>
    <w:rsid w:val="31126BC0"/>
    <w:rsid w:val="318A02A8"/>
    <w:rsid w:val="3276317E"/>
    <w:rsid w:val="32936CE2"/>
    <w:rsid w:val="33194B40"/>
    <w:rsid w:val="35C36441"/>
    <w:rsid w:val="37906A90"/>
    <w:rsid w:val="39A2297D"/>
    <w:rsid w:val="39F83928"/>
    <w:rsid w:val="3B762777"/>
    <w:rsid w:val="3B7B0C6F"/>
    <w:rsid w:val="3CBE1B5F"/>
    <w:rsid w:val="3CD817E2"/>
    <w:rsid w:val="3ECD3068"/>
    <w:rsid w:val="414C1C7A"/>
    <w:rsid w:val="44066626"/>
    <w:rsid w:val="44DB045F"/>
    <w:rsid w:val="45362742"/>
    <w:rsid w:val="459402FF"/>
    <w:rsid w:val="4A5E3D79"/>
    <w:rsid w:val="4C0444F9"/>
    <w:rsid w:val="4DB91F0F"/>
    <w:rsid w:val="4E9F1C4D"/>
    <w:rsid w:val="504768F1"/>
    <w:rsid w:val="53403049"/>
    <w:rsid w:val="544A1B13"/>
    <w:rsid w:val="54613DA6"/>
    <w:rsid w:val="54E37454"/>
    <w:rsid w:val="558740A0"/>
    <w:rsid w:val="56692CCD"/>
    <w:rsid w:val="58A064D4"/>
    <w:rsid w:val="5B244469"/>
    <w:rsid w:val="5E7008FF"/>
    <w:rsid w:val="5F775C2F"/>
    <w:rsid w:val="61887AE7"/>
    <w:rsid w:val="61CD7CBF"/>
    <w:rsid w:val="63355C5B"/>
    <w:rsid w:val="63C4428D"/>
    <w:rsid w:val="63C54F89"/>
    <w:rsid w:val="64654742"/>
    <w:rsid w:val="661C6D04"/>
    <w:rsid w:val="682447A2"/>
    <w:rsid w:val="691F7904"/>
    <w:rsid w:val="696668B1"/>
    <w:rsid w:val="6B1C706E"/>
    <w:rsid w:val="6C592C8E"/>
    <w:rsid w:val="6DC1541F"/>
    <w:rsid w:val="70F53440"/>
    <w:rsid w:val="721B43A6"/>
    <w:rsid w:val="723D30FE"/>
    <w:rsid w:val="73974727"/>
    <w:rsid w:val="75BD3FFF"/>
    <w:rsid w:val="760327D0"/>
    <w:rsid w:val="76B65452"/>
    <w:rsid w:val="78230376"/>
    <w:rsid w:val="792702FB"/>
    <w:rsid w:val="7ABB0CFB"/>
    <w:rsid w:val="7F5B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cs="Calibri"/>
      <w:szCs w:val="21"/>
    </w:rPr>
  </w:style>
  <w:style w:type="paragraph" w:styleId="3">
    <w:name w:val="Body Text"/>
    <w:basedOn w:val="1"/>
    <w:autoRedefine/>
    <w:qFormat/>
    <w:uiPriority w:val="0"/>
    <w:pPr>
      <w:spacing w:before="0" w:after="140" w:line="276" w:lineRule="auto"/>
    </w:pPr>
  </w:style>
  <w:style w:type="paragraph" w:styleId="4">
    <w:name w:val="Body Text Indent"/>
    <w:basedOn w:val="1"/>
    <w:next w:val="2"/>
    <w:autoRedefine/>
    <w:unhideWhenUsed/>
    <w:qFormat/>
    <w:uiPriority w:val="99"/>
    <w:pPr>
      <w:spacing w:after="120"/>
      <w:ind w:left="420" w:leftChars="200"/>
    </w:pPr>
  </w:style>
  <w:style w:type="paragraph" w:styleId="5">
    <w:name w:val="Plain Text"/>
    <w:basedOn w:val="1"/>
    <w:autoRedefine/>
    <w:qFormat/>
    <w:uiPriority w:val="0"/>
    <w:pPr>
      <w:widowControl/>
      <w:spacing w:line="578" w:lineRule="atLeast"/>
      <w:textAlignment w:val="baseline"/>
    </w:pPr>
    <w:rPr>
      <w:rFonts w:hAnsi="Courier New" w:cs="Courier New"/>
      <w:color w:val="000000"/>
      <w:kern w:val="0"/>
      <w:szCs w:val="21"/>
      <w:u w:val="none" w:color="00000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9">
    <w:name w:val="Body Text First Indent"/>
    <w:basedOn w:val="3"/>
    <w:autoRedefine/>
    <w:qFormat/>
    <w:uiPriority w:val="0"/>
    <w:pPr>
      <w:spacing w:after="120"/>
      <w:ind w:firstLine="420" w:firstLineChars="100"/>
    </w:pPr>
    <w:rPr>
      <w:rFonts w:ascii="Times New Roman" w:hAnsi="Times New Roman" w:eastAsia="宋体" w:cs="Times New Roman"/>
      <w:sz w:val="21"/>
    </w:rPr>
  </w:style>
  <w:style w:type="paragraph" w:styleId="10">
    <w:name w:val="Body Text First Indent 2"/>
    <w:basedOn w:val="4"/>
    <w:next w:val="9"/>
    <w:autoRedefine/>
    <w:unhideWhenUsed/>
    <w:qFormat/>
    <w:uiPriority w:val="99"/>
    <w:pPr>
      <w:ind w:firstLine="420" w:firstLineChars="200"/>
    </w:pPr>
    <w:rPr>
      <w:rFonts w:cs="Times New Roman"/>
    </w:rPr>
  </w:style>
  <w:style w:type="character" w:styleId="13">
    <w:name w:val="page number"/>
    <w:basedOn w:val="12"/>
    <w:autoRedefine/>
    <w:qFormat/>
    <w:uiPriority w:val="0"/>
  </w:style>
  <w:style w:type="paragraph" w:customStyle="1" w:styleId="14">
    <w:name w:val="BodyText"/>
    <w:basedOn w:val="1"/>
    <w:autoRedefine/>
    <w:qFormat/>
    <w:uiPriority w:val="99"/>
    <w:pPr>
      <w:spacing w:after="120" w:line="600" w:lineRule="exact"/>
    </w:pPr>
    <w:rPr>
      <w:rFonts w:ascii="Calibri" w:hAnsi="Calibri" w:eastAsia="仿宋_GB2312"/>
      <w:sz w:val="32"/>
      <w:szCs w:val="22"/>
    </w:rPr>
  </w:style>
  <w:style w:type="character" w:customStyle="1" w:styleId="15">
    <w:name w:val="NormalCharacter"/>
    <w:autoRedefine/>
    <w:qFormat/>
    <w:uiPriority w:val="0"/>
  </w:style>
  <w:style w:type="paragraph" w:customStyle="1" w:styleId="16">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14441</Words>
  <Characters>14834</Characters>
  <Lines>0</Lines>
  <Paragraphs>0</Paragraphs>
  <TotalTime>3</TotalTime>
  <ScaleCrop>false</ScaleCrop>
  <LinksUpToDate>false</LinksUpToDate>
  <CharactersWithSpaces>14867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2022-09-26T07:58:00Z</dcterms:created>
  <dc:creator>tzfqz@163.com</dc:creator>
  <cp:lastModifiedBy>Wendy</cp:lastModifiedBy>
  <cp:lastPrinted>2025-03-07T09:47:00Z</cp:lastPrinted>
  <dcterms:modified xsi:type="dcterms:W3CDTF">2025-04-21T07:43:10Z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059C94113EDE4C7EABE31C55D3CACDEE_13</vt:lpwstr>
  </property>
  <property fmtid="{D5CDD505-2E9C-101B-9397-08002B2CF9AE}" pid="4" name="KSOTemplateDocerSaveRecord">
    <vt:lpwstr>eyJoZGlkIjoiYmI4NDdjMTJkNzkyNjdjZjA5YTdkNjViZTExMmYzYzUiLCJ1c2VySWQiOiIyNDU2MTI3MzkifQ==</vt:lpwstr>
  </property>
</Properties>
</file>