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287"/>
        <w:gridCol w:w="1706"/>
        <w:gridCol w:w="6478"/>
        <w:gridCol w:w="1973"/>
        <w:gridCol w:w="607"/>
        <w:gridCol w:w="1445"/>
        <w:gridCol w:w="657"/>
        <w:gridCol w:w="654"/>
        <w:gridCol w:w="607"/>
      </w:tblGrid>
      <w:tr w14:paraId="1B98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 w14:paraId="556FC74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0" w:type="auto"/>
            <w:vAlign w:val="center"/>
          </w:tcPr>
          <w:p w14:paraId="6B752A2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抽查事项</w:t>
            </w:r>
          </w:p>
        </w:tc>
        <w:tc>
          <w:tcPr>
            <w:tcW w:w="0" w:type="auto"/>
            <w:vAlign w:val="center"/>
          </w:tcPr>
          <w:p w14:paraId="36C4F69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抽查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对象</w:t>
            </w:r>
          </w:p>
        </w:tc>
        <w:tc>
          <w:tcPr>
            <w:tcW w:w="6477" w:type="dxa"/>
            <w:vAlign w:val="center"/>
          </w:tcPr>
          <w:p w14:paraId="2D3109E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抽查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973" w:type="dxa"/>
            <w:vAlign w:val="center"/>
          </w:tcPr>
          <w:p w14:paraId="770B4108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抽查依据</w:t>
            </w:r>
          </w:p>
        </w:tc>
        <w:tc>
          <w:tcPr>
            <w:tcW w:w="0" w:type="auto"/>
            <w:vAlign w:val="center"/>
          </w:tcPr>
          <w:p w14:paraId="17410CB5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抽查方式</w:t>
            </w:r>
          </w:p>
        </w:tc>
        <w:tc>
          <w:tcPr>
            <w:tcW w:w="0" w:type="auto"/>
            <w:vAlign w:val="center"/>
          </w:tcPr>
          <w:p w14:paraId="0423AB4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抽查比例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和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频次</w:t>
            </w:r>
          </w:p>
        </w:tc>
        <w:tc>
          <w:tcPr>
            <w:tcW w:w="0" w:type="auto"/>
            <w:vAlign w:val="center"/>
          </w:tcPr>
          <w:p w14:paraId="4062FC5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0" w:type="auto"/>
            <w:vAlign w:val="center"/>
          </w:tcPr>
          <w:p w14:paraId="4CCC6D0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抽查时间</w:t>
            </w:r>
          </w:p>
        </w:tc>
        <w:tc>
          <w:tcPr>
            <w:tcW w:w="0" w:type="auto"/>
            <w:vAlign w:val="center"/>
          </w:tcPr>
          <w:p w14:paraId="1FF782F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检查主体</w:t>
            </w:r>
          </w:p>
        </w:tc>
      </w:tr>
      <w:tr w14:paraId="2E1F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</w:tcPr>
          <w:p w14:paraId="538FE87E">
            <w:pPr>
              <w:jc w:val="center"/>
              <w:rPr>
                <w:rFonts w:hint="eastAsia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04F8F17E">
            <w:pPr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vertAlign w:val="baseline"/>
              </w:rPr>
              <w:t>食盐专营工作检查</w:t>
            </w:r>
          </w:p>
        </w:tc>
        <w:tc>
          <w:tcPr>
            <w:tcW w:w="0" w:type="auto"/>
          </w:tcPr>
          <w:p w14:paraId="10056F83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食盐定点企业批发企业</w:t>
            </w:r>
          </w:p>
        </w:tc>
        <w:tc>
          <w:tcPr>
            <w:tcW w:w="6477" w:type="dxa"/>
          </w:tcPr>
          <w:p w14:paraId="7DBB9A55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食盐定点企业资质、流通渠道、销售范围、企业（零售单位）生产经营记录、食盐定点企业社会责任储备情况检查。</w:t>
            </w:r>
          </w:p>
        </w:tc>
        <w:tc>
          <w:tcPr>
            <w:tcW w:w="1973" w:type="dxa"/>
            <w:vAlign w:val="center"/>
          </w:tcPr>
          <w:p w14:paraId="1DE4FFED">
            <w:pPr>
              <w:jc w:val="center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《食盐专营办法》</w:t>
            </w:r>
          </w:p>
        </w:tc>
        <w:tc>
          <w:tcPr>
            <w:tcW w:w="0" w:type="auto"/>
          </w:tcPr>
          <w:p w14:paraId="3B156D4D">
            <w:pPr>
              <w:rPr>
                <w:rFonts w:hint="eastAsia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0" w:type="auto"/>
          </w:tcPr>
          <w:p w14:paraId="621C7417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抽查比例为100%，抽查1次</w:t>
            </w:r>
          </w:p>
        </w:tc>
        <w:tc>
          <w:tcPr>
            <w:tcW w:w="0" w:type="auto"/>
          </w:tcPr>
          <w:p w14:paraId="6B367EDB">
            <w:pPr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一般检查事项</w:t>
            </w:r>
          </w:p>
        </w:tc>
        <w:tc>
          <w:tcPr>
            <w:tcW w:w="0" w:type="auto"/>
          </w:tcPr>
          <w:p w14:paraId="73D73275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0"/>
                <w:vertAlign w:val="baseline"/>
              </w:rPr>
              <w:t>月-11月</w:t>
            </w:r>
          </w:p>
        </w:tc>
        <w:tc>
          <w:tcPr>
            <w:tcW w:w="0" w:type="auto"/>
          </w:tcPr>
          <w:p w14:paraId="7B7DA2B8">
            <w:pPr>
              <w:rPr>
                <w:rFonts w:hint="eastAsia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市工信局</w:t>
            </w:r>
          </w:p>
        </w:tc>
      </w:tr>
      <w:tr w14:paraId="430E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</w:tcPr>
          <w:p w14:paraId="25151016">
            <w:pPr>
              <w:jc w:val="center"/>
              <w:rPr>
                <w:rFonts w:hint="eastAsia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</w:tcPr>
          <w:p w14:paraId="78888FB2">
            <w:pPr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vertAlign w:val="baseline"/>
              </w:rPr>
              <w:t>民用爆炸物品销售企业的现场安全检查</w:t>
            </w:r>
          </w:p>
        </w:tc>
        <w:tc>
          <w:tcPr>
            <w:tcW w:w="0" w:type="auto"/>
          </w:tcPr>
          <w:p w14:paraId="5C5117F0">
            <w:pPr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vertAlign w:val="baseline"/>
              </w:rPr>
              <w:t>民爆销售企业</w:t>
            </w:r>
          </w:p>
        </w:tc>
        <w:tc>
          <w:tcPr>
            <w:tcW w:w="6477" w:type="dxa"/>
          </w:tcPr>
          <w:p w14:paraId="6B114A03">
            <w:pPr>
              <w:rPr>
                <w:rFonts w:hint="eastAsia" w:eastAsia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sz w:val="20"/>
                <w:szCs w:val="20"/>
                <w:vertAlign w:val="baseline"/>
              </w:rPr>
              <w:t>对取得民用爆炸物品销售许可证的企业进行违法违规购买、销售、储藏行为的监督检查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。</w:t>
            </w:r>
          </w:p>
        </w:tc>
        <w:tc>
          <w:tcPr>
            <w:tcW w:w="1973" w:type="dxa"/>
          </w:tcPr>
          <w:p w14:paraId="20EC7624">
            <w:pPr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vertAlign w:val="baseline"/>
              </w:rPr>
              <w:t>《中华人民共和国安全生产法》</w:t>
            </w:r>
          </w:p>
          <w:p w14:paraId="0E5AB970">
            <w:pPr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vertAlign w:val="baseline"/>
              </w:rPr>
              <w:t>《民用爆炸物品销售许可实施办法》</w:t>
            </w:r>
          </w:p>
        </w:tc>
        <w:tc>
          <w:tcPr>
            <w:tcW w:w="0" w:type="auto"/>
          </w:tcPr>
          <w:p w14:paraId="659C2E50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0" w:type="auto"/>
          </w:tcPr>
          <w:p w14:paraId="369D60EB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抽查比例为100%，抽查1次</w:t>
            </w:r>
          </w:p>
        </w:tc>
        <w:tc>
          <w:tcPr>
            <w:tcW w:w="0" w:type="auto"/>
          </w:tcPr>
          <w:p w14:paraId="26220ADC">
            <w:pPr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vertAlign w:val="baseline"/>
              </w:rPr>
              <w:t>一般检查事项</w:t>
            </w:r>
          </w:p>
        </w:tc>
        <w:tc>
          <w:tcPr>
            <w:tcW w:w="0" w:type="auto"/>
          </w:tcPr>
          <w:p w14:paraId="3A3B1622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4月-11月</w:t>
            </w:r>
          </w:p>
        </w:tc>
        <w:tc>
          <w:tcPr>
            <w:tcW w:w="0" w:type="auto"/>
          </w:tcPr>
          <w:p w14:paraId="16B0AE5D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市工信局</w:t>
            </w:r>
          </w:p>
        </w:tc>
      </w:tr>
      <w:tr w14:paraId="61B7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</w:tcPr>
          <w:p w14:paraId="67977623">
            <w:pPr>
              <w:jc w:val="center"/>
              <w:rPr>
                <w:rFonts w:hint="eastAsia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</w:tcPr>
          <w:p w14:paraId="449C45A7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监控化学品生产、使用、经营的监督检查</w:t>
            </w:r>
          </w:p>
        </w:tc>
        <w:tc>
          <w:tcPr>
            <w:tcW w:w="0" w:type="auto"/>
          </w:tcPr>
          <w:p w14:paraId="7301CA73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从事监控化学品生产、经营、使用以及进出口监控化学品的单位</w:t>
            </w:r>
          </w:p>
        </w:tc>
        <w:tc>
          <w:tcPr>
            <w:tcW w:w="6477" w:type="dxa"/>
          </w:tcPr>
          <w:p w14:paraId="7F1A9D34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sz w:val="20"/>
                <w:szCs w:val="20"/>
                <w:vertAlign w:val="baseline"/>
              </w:rPr>
              <w:t>是否存在故意漏报、误报、隐瞒、拒报有关监控化学品的资料、数据或者妨碍、阻挠化学工业主管部门依照规定履行检查监督职责的行为；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sz w:val="20"/>
                <w:szCs w:val="20"/>
                <w:vertAlign w:val="baseline"/>
              </w:rPr>
              <w:t>是否存在未经生产特别许可新建、扩建或改建用于生产第二类、第三类监控化学品和第四类监控化学品中含磷、硫、氟的特定有机化学品设施的行为；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sz w:val="20"/>
                <w:szCs w:val="20"/>
                <w:vertAlign w:val="baseline"/>
              </w:rPr>
              <w:t>是否存在违规经营监控化学品的行为；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4.</w:t>
            </w:r>
            <w:r>
              <w:rPr>
                <w:rFonts w:hint="eastAsia"/>
                <w:sz w:val="20"/>
                <w:szCs w:val="20"/>
                <w:vertAlign w:val="baseline"/>
              </w:rPr>
              <w:t>是否存在违反规定生产监控化学品的行为；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5.</w:t>
            </w:r>
            <w:r>
              <w:rPr>
                <w:rFonts w:hint="eastAsia"/>
                <w:sz w:val="20"/>
                <w:szCs w:val="20"/>
                <w:vertAlign w:val="baseline"/>
              </w:rPr>
              <w:t>是否存在违反规定使用监控化学品的行为。</w:t>
            </w:r>
          </w:p>
        </w:tc>
        <w:tc>
          <w:tcPr>
            <w:tcW w:w="1973" w:type="dxa"/>
          </w:tcPr>
          <w:p w14:paraId="54E47493">
            <w:pPr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《监控化学品管理条例》</w:t>
            </w:r>
          </w:p>
          <w:p w14:paraId="54188087">
            <w:pPr>
              <w:pStyle w:val="2"/>
            </w:pPr>
            <w:r>
              <w:rPr>
                <w:rFonts w:hint="eastAsia"/>
                <w:sz w:val="20"/>
                <w:szCs w:val="20"/>
                <w:vertAlign w:val="baseline"/>
              </w:rPr>
              <w:t>《&lt;中华人民共和国监控化学品管理条例&gt;实施细则》</w:t>
            </w:r>
          </w:p>
        </w:tc>
        <w:tc>
          <w:tcPr>
            <w:tcW w:w="0" w:type="auto"/>
          </w:tcPr>
          <w:p w14:paraId="14BE4863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0" w:type="auto"/>
          </w:tcPr>
          <w:p w14:paraId="272FB24C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抽查比例不低于5%，抽查1次</w:t>
            </w:r>
          </w:p>
        </w:tc>
        <w:tc>
          <w:tcPr>
            <w:tcW w:w="0" w:type="auto"/>
          </w:tcPr>
          <w:p w14:paraId="64E0BD15">
            <w:pPr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vertAlign w:val="baseline"/>
              </w:rPr>
              <w:t>一般检查事项</w:t>
            </w:r>
          </w:p>
        </w:tc>
        <w:tc>
          <w:tcPr>
            <w:tcW w:w="0" w:type="auto"/>
          </w:tcPr>
          <w:p w14:paraId="7479B70F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4月-11月</w:t>
            </w:r>
          </w:p>
        </w:tc>
        <w:tc>
          <w:tcPr>
            <w:tcW w:w="0" w:type="auto"/>
          </w:tcPr>
          <w:p w14:paraId="638F636F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市工信局</w:t>
            </w:r>
          </w:p>
        </w:tc>
      </w:tr>
      <w:tr w14:paraId="6E42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</w:tcPr>
          <w:p w14:paraId="2AD81A36">
            <w:pPr>
              <w:jc w:val="center"/>
              <w:rPr>
                <w:rFonts w:hint="eastAsia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</w:tcPr>
          <w:p w14:paraId="55291B77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对企业技术改造投资项目备案行为的检查</w:t>
            </w:r>
          </w:p>
        </w:tc>
        <w:tc>
          <w:tcPr>
            <w:tcW w:w="0" w:type="auto"/>
          </w:tcPr>
          <w:p w14:paraId="6C580A26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市级备案的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工业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企业技术改造投资项目</w:t>
            </w:r>
          </w:p>
        </w:tc>
        <w:tc>
          <w:tcPr>
            <w:tcW w:w="6477" w:type="dxa"/>
          </w:tcPr>
          <w:p w14:paraId="48F0A5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市级备案的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工业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企业技术改造投资项目的实施情况。</w:t>
            </w:r>
          </w:p>
        </w:tc>
        <w:tc>
          <w:tcPr>
            <w:tcW w:w="1973" w:type="dxa"/>
          </w:tcPr>
          <w:p w14:paraId="5F928E10">
            <w:pPr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《企业投资项目核准和备案管理条例》</w:t>
            </w:r>
          </w:p>
          <w:p w14:paraId="5761E361">
            <w:pPr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《企业投资项目核准和备案管理办法》</w:t>
            </w:r>
          </w:p>
          <w:p w14:paraId="2727DCA8">
            <w:pPr>
              <w:pStyle w:val="2"/>
            </w:pPr>
          </w:p>
        </w:tc>
        <w:tc>
          <w:tcPr>
            <w:tcW w:w="0" w:type="auto"/>
          </w:tcPr>
          <w:p w14:paraId="2A40BF85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0" w:type="auto"/>
          </w:tcPr>
          <w:p w14:paraId="467F14FA">
            <w:pPr>
              <w:rPr>
                <w:rFonts w:hint="eastAsia" w:eastAsia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抽查比例及频次根据监管工作需要确定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0" w:type="auto"/>
          </w:tcPr>
          <w:p w14:paraId="1F944922">
            <w:pPr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vertAlign w:val="baseline"/>
              </w:rPr>
              <w:t>一般检查事项</w:t>
            </w:r>
          </w:p>
        </w:tc>
        <w:tc>
          <w:tcPr>
            <w:tcW w:w="0" w:type="auto"/>
          </w:tcPr>
          <w:p w14:paraId="468BBE5C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6月-11月</w:t>
            </w:r>
          </w:p>
        </w:tc>
        <w:tc>
          <w:tcPr>
            <w:tcW w:w="0" w:type="auto"/>
          </w:tcPr>
          <w:p w14:paraId="1AD42343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市工信局</w:t>
            </w:r>
          </w:p>
        </w:tc>
      </w:tr>
    </w:tbl>
    <w:p w14:paraId="0F09203C"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MDliYzA1ZDQ5NTQ3MzdjYzZmNTA1NzhiY2ZlNzcifQ=="/>
  </w:docVars>
  <w:rsids>
    <w:rsidRoot w:val="00000000"/>
    <w:rsid w:val="03233F7C"/>
    <w:rsid w:val="0DFE26FC"/>
    <w:rsid w:val="199E000F"/>
    <w:rsid w:val="1E2A1D6F"/>
    <w:rsid w:val="3E2C1BFA"/>
    <w:rsid w:val="765A4498"/>
    <w:rsid w:val="7C82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7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673</Words>
  <Characters>688</Characters>
  <Lines>0</Lines>
  <Paragraphs>0</Paragraphs>
  <TotalTime>6</TotalTime>
  <ScaleCrop>false</ScaleCrop>
  <LinksUpToDate>false</LinksUpToDate>
  <CharactersWithSpaces>688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2024-06-20T01:00:00Z</dcterms:created>
  <dc:creator>Administrator</dc:creator>
  <cp:lastModifiedBy>刘学</cp:lastModifiedBy>
  <dcterms:modified xsi:type="dcterms:W3CDTF">2024-07-12T02:28:21Z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46CDF503729F4447A3A5F8DEDB8CCFD1_12</vt:lpwstr>
  </property>
</Properties>
</file>