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margin" w:tblpY="15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54"/>
        <w:gridCol w:w="1559"/>
      </w:tblGrid>
      <w:tr w:rsidR="00377986" w:rsidTr="008529DB">
        <w:trPr>
          <w:trHeight w:val="1408"/>
        </w:trPr>
        <w:tc>
          <w:tcPr>
            <w:tcW w:w="7054" w:type="dxa"/>
            <w:vAlign w:val="center"/>
          </w:tcPr>
          <w:p w:rsidR="00377986" w:rsidRDefault="00377986" w:rsidP="008529DB">
            <w:pPr>
              <w:tabs>
                <w:tab w:val="center" w:pos="4156"/>
                <w:tab w:val="right" w:pos="8312"/>
              </w:tabs>
              <w:adjustRightInd w:val="0"/>
              <w:snapToGrid w:val="0"/>
              <w:spacing w:line="1400" w:lineRule="exact"/>
              <w:jc w:val="distribute"/>
              <w:rPr>
                <w:rFonts w:ascii="方正小标宋简体" w:eastAsia="方正小标宋简体" w:hAnsi="仿宋" w:cs="仿宋"/>
                <w:color w:val="FF0000"/>
                <w:w w:val="45"/>
                <w:sz w:val="128"/>
                <w:szCs w:val="128"/>
              </w:rPr>
            </w:pPr>
            <w:r>
              <w:rPr>
                <w:rFonts w:ascii="方正小标宋简体" w:eastAsia="方正小标宋简体" w:hAnsi="仿宋" w:cs="仿宋" w:hint="eastAsia"/>
                <w:color w:val="FF0000"/>
                <w:w w:val="45"/>
                <w:sz w:val="128"/>
                <w:szCs w:val="128"/>
              </w:rPr>
              <w:t>滕州市发展和改革局</w:t>
            </w:r>
          </w:p>
        </w:tc>
        <w:tc>
          <w:tcPr>
            <w:tcW w:w="1559" w:type="dxa"/>
            <w:vMerge w:val="restart"/>
            <w:vAlign w:val="center"/>
          </w:tcPr>
          <w:p w:rsidR="00377986" w:rsidRDefault="00377986" w:rsidP="008529DB">
            <w:pPr>
              <w:tabs>
                <w:tab w:val="center" w:pos="4156"/>
                <w:tab w:val="right" w:pos="8312"/>
              </w:tabs>
              <w:adjustRightInd w:val="0"/>
              <w:snapToGrid w:val="0"/>
              <w:spacing w:line="1400" w:lineRule="exact"/>
              <w:jc w:val="center"/>
              <w:rPr>
                <w:rFonts w:ascii="方正小标宋简体" w:eastAsia="方正小标宋简体" w:hAnsi="仿宋" w:cs="仿宋"/>
                <w:color w:val="FF0000"/>
                <w:w w:val="45"/>
                <w:sz w:val="128"/>
                <w:szCs w:val="128"/>
              </w:rPr>
            </w:pPr>
            <w:r>
              <w:rPr>
                <w:rFonts w:ascii="方正小标宋简体" w:eastAsia="方正小标宋简体" w:hAnsi="仿宋" w:cs="仿宋" w:hint="eastAsia"/>
                <w:color w:val="FF0000"/>
                <w:w w:val="45"/>
                <w:sz w:val="128"/>
                <w:szCs w:val="128"/>
              </w:rPr>
              <w:t>文件</w:t>
            </w:r>
          </w:p>
        </w:tc>
      </w:tr>
      <w:tr w:rsidR="00377986" w:rsidTr="008529DB">
        <w:trPr>
          <w:trHeight w:val="1488"/>
        </w:trPr>
        <w:tc>
          <w:tcPr>
            <w:tcW w:w="7054" w:type="dxa"/>
            <w:vAlign w:val="center"/>
          </w:tcPr>
          <w:p w:rsidR="00377986" w:rsidRDefault="00377986" w:rsidP="00377986">
            <w:pPr>
              <w:tabs>
                <w:tab w:val="center" w:pos="4156"/>
                <w:tab w:val="right" w:pos="8312"/>
              </w:tabs>
              <w:adjustRightInd w:val="0"/>
              <w:snapToGrid w:val="0"/>
              <w:spacing w:line="1400" w:lineRule="exact"/>
              <w:jc w:val="distribute"/>
              <w:rPr>
                <w:rFonts w:ascii="方正小标宋简体" w:eastAsia="方正小标宋简体" w:hAnsi="仿宋" w:cs="仿宋"/>
                <w:color w:val="FF0000"/>
                <w:w w:val="45"/>
                <w:sz w:val="128"/>
                <w:szCs w:val="128"/>
              </w:rPr>
            </w:pPr>
            <w:r>
              <w:rPr>
                <w:rFonts w:ascii="方正小标宋简体" w:eastAsia="方正小标宋简体" w:hAnsi="仿宋" w:cs="仿宋" w:hint="eastAsia"/>
                <w:color w:val="FF0000"/>
                <w:w w:val="45"/>
                <w:sz w:val="128"/>
                <w:szCs w:val="128"/>
              </w:rPr>
              <w:t>滕州市地方金融监管局</w:t>
            </w:r>
          </w:p>
        </w:tc>
        <w:tc>
          <w:tcPr>
            <w:tcW w:w="1559" w:type="dxa"/>
            <w:vMerge/>
            <w:vAlign w:val="center"/>
          </w:tcPr>
          <w:p w:rsidR="00377986" w:rsidRDefault="00377986" w:rsidP="008529DB">
            <w:pPr>
              <w:tabs>
                <w:tab w:val="center" w:pos="4156"/>
                <w:tab w:val="right" w:pos="8312"/>
              </w:tabs>
              <w:adjustRightInd w:val="0"/>
              <w:snapToGrid w:val="0"/>
              <w:spacing w:line="1400" w:lineRule="exact"/>
              <w:jc w:val="center"/>
              <w:rPr>
                <w:rFonts w:ascii="方正小标宋简体" w:eastAsia="方正小标宋简体" w:hAnsi="仿宋" w:cs="仿宋"/>
                <w:color w:val="FF0000"/>
                <w:w w:val="45"/>
                <w:sz w:val="128"/>
                <w:szCs w:val="128"/>
              </w:rPr>
            </w:pPr>
          </w:p>
        </w:tc>
      </w:tr>
    </w:tbl>
    <w:p w:rsidR="00377986" w:rsidRDefault="00C30FCB" w:rsidP="00491171">
      <w:pPr>
        <w:spacing w:beforeLines="100" w:afterLines="100"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pict>
          <v:line id="_x0000_s1028" style="position:absolute;left:0;text-align:left;z-index:251661312;mso-position-horizontal-relative:text;mso-position-vertical-relative:text" from="5.9pt,224.7pt" to="424.15pt,224.7pt" o:gfxdata="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6+7a1wAAAAoBAAAPAAAAAAAAAAEAIAAAACIAAABkcnMv&#10;ZG93bnJldi54bWxQSwECFAAUAAAACACHTuJA3t5HN8sBAABkAwAADgAAAAAAAAABACAAAAAmAQAA&#10;ZHJzL2Uyb0RvYy54bWxQSwUGAAAAAAYABgBZAQAAYwUAAAAA&#10;" strokecolor="red" strokeweight="2pt">
            <v:stroke joinstyle="miter"/>
          </v:line>
        </w:pict>
      </w:r>
      <w:r w:rsidR="00377986">
        <w:rPr>
          <w:rFonts w:ascii="楷体_GB2312" w:eastAsia="楷体_GB2312" w:hAnsi="楷体_GB2312" w:cs="楷体_GB2312" w:hint="eastAsia"/>
          <w:sz w:val="32"/>
          <w:szCs w:val="32"/>
        </w:rPr>
        <w:t xml:space="preserve">滕发改字〔2020〕 </w:t>
      </w:r>
      <w:r w:rsidR="008F3B4A">
        <w:rPr>
          <w:rFonts w:ascii="楷体_GB2312" w:eastAsia="楷体_GB2312" w:hAnsi="楷体_GB2312" w:cs="楷体_GB2312" w:hint="eastAsia"/>
          <w:sz w:val="32"/>
          <w:szCs w:val="32"/>
        </w:rPr>
        <w:t>69</w:t>
      </w:r>
      <w:r w:rsidR="00377986">
        <w:rPr>
          <w:rFonts w:ascii="楷体_GB2312" w:eastAsia="楷体_GB2312" w:hAnsi="楷体_GB2312" w:cs="楷体_GB2312" w:hint="eastAsia"/>
          <w:sz w:val="32"/>
          <w:szCs w:val="32"/>
        </w:rPr>
        <w:t xml:space="preserve"> 号</w:t>
      </w:r>
    </w:p>
    <w:p w:rsidR="00377986" w:rsidRDefault="00377986" w:rsidP="002F209C">
      <w:pPr>
        <w:pStyle w:val="Heading21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 w:rsidR="002F209C" w:rsidRPr="00961981" w:rsidRDefault="002F209C" w:rsidP="002F209C">
      <w:pPr>
        <w:pStyle w:val="Heading21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 w:rsidRPr="00961981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关于</w:t>
      </w:r>
      <w:r w:rsidRPr="002F209C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宣传发动企业入驻全国中小企业融资综合信用服务平台</w:t>
      </w:r>
      <w:r w:rsidRPr="00961981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的通知</w:t>
      </w:r>
    </w:p>
    <w:p w:rsidR="00732F74" w:rsidRPr="00C250A2" w:rsidRDefault="00D06DDD" w:rsidP="00C250A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250A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各镇（街道）、市有关部门（单位）</w:t>
      </w:r>
      <w:r w:rsidR="00732F74" w:rsidRPr="00C250A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EB196B" w:rsidRPr="00961981" w:rsidRDefault="00EB196B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为深入贯彻落实习近平总书记在民营企业座谈会上的重要讲话精神，按照党中央、国务院关于解决中小微企业融资难、融资贵问题的一系列具体部署，落实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枣庄</w:t>
      </w: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市发展改革委、枣庄银保监分局、</w:t>
      </w:r>
      <w:r w:rsidR="002A684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枣庄</w:t>
      </w: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市地方金融监管局印发的《关于入驻全国中小企业融资综合信用服务平台（全国“信易贷”平台）枣庄站的通知》（枣发改信用〔2020〕169号）</w:t>
      </w:r>
      <w:r w:rsidR="002F20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2F209C"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枣庄市持续深入优化营商环境和推进政府职能转变领导小组办公室</w:t>
      </w:r>
      <w:r w:rsidR="002F20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="002F209C"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关于宣传发动企业入驻全国“信易贷”平台的通知</w:t>
      </w:r>
      <w:r w:rsidR="002F20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等文件要求，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切实提升营商环境“获得信贷”指标水平，进一步化解企业反映的信贷产品、担保政策等信息分散在各个银行，集成度不高、查询不方便的问题，提升企业“获得信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贷”满意度，</w:t>
      </w:r>
      <w:r w:rsidR="00CC263F"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妥善解决中小企业融资难问题，通过信用手段提高信用状况良好的中小企业的贷款可得性。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现就宣传发动企业入驻“全国中小企业融资综合信用服务平台”枣庄站有关工作通知如下</w:t>
      </w: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EB196B" w:rsidRPr="00961981" w:rsidRDefault="00EB196B" w:rsidP="00377986">
      <w:pPr>
        <w:widowControl/>
        <w:shd w:val="clear" w:color="auto" w:fill="FFFFFF"/>
        <w:spacing w:line="560" w:lineRule="exact"/>
        <w:ind w:firstLineChars="200" w:firstLine="643"/>
        <w:rPr>
          <w:rFonts w:ascii="Calibri" w:eastAsia="微软雅黑" w:hAnsi="Calibri" w:cs="宋体"/>
          <w:color w:val="333333"/>
          <w:kern w:val="0"/>
          <w:szCs w:val="21"/>
        </w:rPr>
      </w:pPr>
      <w:r w:rsidRPr="00961981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一、信易贷平台建设背景</w:t>
      </w:r>
    </w:p>
    <w:p w:rsidR="00EB196B" w:rsidRPr="00961981" w:rsidRDefault="00EB196B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全国中小企业综合信用服务平台(</w:t>
      </w:r>
      <w:r w:rsidR="002F20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枣庄站</w:t>
      </w: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依托全国信用信息共享平台，集成政府、企业、社会和金融机构各类信用信息，利用大数据、智能风控等金融科技手段，以信用为核心要素，为全市中小企业提供融资综合信用服务，形成以信用数据促进融资业务，以融资业务引导政策配套，以政策配套推进平台服务，以平台服务丰富信用数据的完整闭环，构建全行业、全金融机构的“信用+科技+惠金”的新型融资综合政府平台。</w:t>
      </w:r>
    </w:p>
    <w:p w:rsidR="00EB196B" w:rsidRPr="00961981" w:rsidRDefault="00EB196B" w:rsidP="00377986">
      <w:pPr>
        <w:widowControl/>
        <w:shd w:val="clear" w:color="auto" w:fill="FFFFFF"/>
        <w:spacing w:line="560" w:lineRule="exact"/>
        <w:ind w:firstLineChars="200" w:firstLine="643"/>
        <w:rPr>
          <w:rFonts w:ascii="Calibri" w:eastAsia="微软雅黑" w:hAnsi="Calibri" w:cs="宋体"/>
          <w:color w:val="333333"/>
          <w:kern w:val="0"/>
          <w:szCs w:val="21"/>
        </w:rPr>
      </w:pPr>
      <w:r w:rsidRPr="00961981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二、中小企业入驻平台优势</w:t>
      </w:r>
    </w:p>
    <w:p w:rsidR="00EB196B" w:rsidRPr="00961981" w:rsidRDefault="00EB196B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对在“信易贷”平台注册且信用状况良好的中小企业，实施守信激励措施，对其在申请</w:t>
      </w:r>
      <w:r w:rsidR="002F20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枣庄</w:t>
      </w: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各级财政性资金扶持和奖励以及办理相关政务业务时，各有关部门开放绿色通道，给予优先办理。对在“信易贷”平台获得贷款后按时履约还款的中小企业，“信易贷”平台予以公布，金融机构和地方金融组织在信贷额度、利率、保险费率、担保费率等方面持续给予优惠扶持。</w:t>
      </w:r>
    </w:p>
    <w:p w:rsidR="00EB196B" w:rsidRPr="00961981" w:rsidRDefault="00EB196B" w:rsidP="00377986">
      <w:pPr>
        <w:widowControl/>
        <w:shd w:val="clear" w:color="auto" w:fill="FFFFFF"/>
        <w:spacing w:line="560" w:lineRule="exact"/>
        <w:ind w:firstLineChars="200" w:firstLine="643"/>
        <w:rPr>
          <w:rFonts w:ascii="Calibri" w:eastAsia="微软雅黑" w:hAnsi="Calibri" w:cs="宋体"/>
          <w:color w:val="333333"/>
          <w:kern w:val="0"/>
          <w:szCs w:val="21"/>
        </w:rPr>
      </w:pPr>
      <w:r w:rsidRPr="00961981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三、入驻企业范围</w:t>
      </w:r>
    </w:p>
    <w:p w:rsidR="00EB196B" w:rsidRPr="00961981" w:rsidRDefault="00EB196B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高新技术企业、合资（外资）企业、中小微企业、个体工商户等均可入驻“信易贷”平台。</w:t>
      </w:r>
    </w:p>
    <w:p w:rsidR="00EB196B" w:rsidRPr="00961981" w:rsidRDefault="00EB196B" w:rsidP="00377986">
      <w:pPr>
        <w:widowControl/>
        <w:shd w:val="clear" w:color="auto" w:fill="FFFFFF"/>
        <w:spacing w:line="560" w:lineRule="exact"/>
        <w:ind w:firstLineChars="200" w:firstLine="643"/>
        <w:rPr>
          <w:rFonts w:ascii="Calibri" w:eastAsia="微软雅黑" w:hAnsi="Calibri" w:cs="宋体"/>
          <w:color w:val="333333"/>
          <w:kern w:val="0"/>
          <w:szCs w:val="21"/>
        </w:rPr>
      </w:pPr>
      <w:r w:rsidRPr="00961981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四、工作</w:t>
      </w:r>
      <w:r w:rsidR="00C81F4D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任务</w:t>
      </w:r>
    </w:p>
    <w:p w:rsidR="00CC263F" w:rsidRPr="00911ECC" w:rsidRDefault="00391DC9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楷体_GB2312" w:eastAsia="楷体_GB2312" w:hAnsi="仿宋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lastRenderedPageBreak/>
        <w:t>（一）</w:t>
      </w:r>
      <w:r w:rsidR="00CC263F" w:rsidRPr="00911ECC"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高度重视企业入驻全国“信易贷”平台工作</w:t>
      </w:r>
    </w:p>
    <w:p w:rsidR="00CC263F" w:rsidRPr="00CC263F" w:rsidRDefault="00CC263F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企业入驻全国“信易贷”平台是常态化疫情防控形势下破解中小微企业融资难题的有力举措，有利于优化营商环境，争创全省营商环境评价“获得信贷”指标良好位次，有利于降低银企双方投融资成本，有利于提升企业“获得信贷”满意度。</w:t>
      </w:r>
      <w:r w:rsidR="00D8002E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企业入驻全国“信易贷”平台</w:t>
      </w:r>
      <w:r w:rsidR="00D800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</w:t>
      </w:r>
      <w:r w:rsidR="00D8002E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与</w:t>
      </w:r>
      <w:r w:rsidR="00D800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枣庄市</w:t>
      </w:r>
      <w:r w:rsidR="00D8002E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年度经济社会发展综合考核相挂钩</w:t>
      </w:r>
      <w:r w:rsidR="00D8002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8540A1" w:rsidRP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各镇（街道）、市有关部门（单位）</w:t>
      </w:r>
      <w:r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要高度重视宣传发动企业入驻全国“信易贷”平台工作，认真落实属地和行业管理职责，因地制宜采取措施，促进本辖区、本行业范围内企业全量入驻全国“信易贷”平台。各银行金融机构要切实履行服务中小微企业的职责，将金融产品通过全国“信易贷”平台全量发布，鼓励创新开发“信易贷”产品和服务，持续扩大“信易贷”成交笔数和规模，提高中小微企业的政策获得感。</w:t>
      </w:r>
    </w:p>
    <w:p w:rsidR="00CC263F" w:rsidRPr="00911ECC" w:rsidRDefault="00391DC9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楷体_GB2312" w:eastAsia="楷体_GB2312" w:hAnsi="仿宋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（二）</w:t>
      </w:r>
      <w:r w:rsidR="00CC263F" w:rsidRPr="00911ECC"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明确时间节点，推动全国信易贷平台入驻工作取得实效</w:t>
      </w:r>
    </w:p>
    <w:p w:rsidR="00CC263F" w:rsidRPr="00CC263F" w:rsidRDefault="00CC263F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全省营商环境评价工作将于近期开展。</w:t>
      </w:r>
      <w:r w:rsidR="008540A1" w:rsidRP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各镇（街道）、市有关部门（单位）</w:t>
      </w:r>
      <w:r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，各银行金融机构要立即行动，按照各自职责，宣传发动本辖区、本行业范围内企业尽快入驻全国“信易贷”平台。</w:t>
      </w:r>
    </w:p>
    <w:p w:rsidR="00B87A3B" w:rsidRDefault="00391DC9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</w:t>
      </w:r>
      <w:r w:rsidR="008540A1" w:rsidRP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各镇（街道）、市有关部门（单位）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要在</w:t>
      </w:r>
      <w:r w:rsidR="00547BA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辖区内的</w:t>
      </w:r>
      <w:r w:rsid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政务服务大厅、</w:t>
      </w:r>
      <w:r w:rsid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纳税服务大厅</w:t>
      </w:r>
      <w:r w:rsidR="008540A1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8540A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各金融机构服务网点大厅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等综合性审批服务机构安放全国“信易贷”平台门厅展架，在政策培训、资金申报、业务办理过程中发放全国“信易贷”平台宣传折页，利用电子屏幕播放全国“信易贷”平台宣传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片，在政府门户网站设置全国“信易贷”平台广告、飘窗（门厅展架、宣传折页、网站广告、飘窗设计标准、宣传片见附件2），对全国“信易贷”平台进行全方位宣传推广，提升全国“信易贷”平台的社会认知度，引导广大企业扫描二维码关注、入驻平台，帮助企业获得优质金融产品和服务，在2020年9月底前，实现本辖区内重点项目100%全部入驻，化解重点项目融资难题，企业入驻平台数不少于辖区注册企业总数的20%，自10月份起每月以不低于10%的速度递增。</w:t>
      </w:r>
    </w:p>
    <w:p w:rsidR="00CC263F" w:rsidRPr="00CC263F" w:rsidRDefault="00391DC9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各银行金融机构要按照</w:t>
      </w:r>
      <w:r w:rsidR="00C622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枣庄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市发展改革委、枣庄银保监分局、</w:t>
      </w:r>
      <w:r w:rsidR="00C622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枣庄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地方金融监管局印发的《关于入驻全国中小企业融资综合信用服务平台（全国“信易贷”平台）枣庄站的通知》（枣发改信用〔2020〕169号）等文件要求完成既定目标，全量发布金融产品至全国“信易贷”平台，并大力引导行内企业入驻平台，各银行金融机构确保于8月底前引导本行内企业入驻平台不少于10家，并于以后3个月内持续引导本行内企业入驻平台不少于50家。</w:t>
      </w:r>
    </w:p>
    <w:p w:rsidR="00CC263F" w:rsidRPr="00911ECC" w:rsidRDefault="00391DC9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楷体_GB2312" w:eastAsia="楷体_GB2312" w:hAnsi="仿宋" w:cs="宋体"/>
          <w:color w:val="333333"/>
          <w:kern w:val="0"/>
          <w:sz w:val="32"/>
          <w:szCs w:val="32"/>
        </w:rPr>
      </w:pPr>
      <w:r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（三）</w:t>
      </w:r>
      <w:r w:rsidR="00CC263F" w:rsidRPr="00911ECC"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建立完善调度分析</w:t>
      </w:r>
      <w:r w:rsidR="00911ECC"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督导检查</w:t>
      </w:r>
      <w:r w:rsidR="00CC263F" w:rsidRPr="00911ECC"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通报制度</w:t>
      </w:r>
    </w:p>
    <w:p w:rsidR="00EB196B" w:rsidRDefault="00196A90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滕州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市优化营商环境工作专班将</w:t>
      </w:r>
      <w:r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滕州市发展和改革局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、枣庄银保监分局</w:t>
      </w:r>
      <w:r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滕州市地方金融监管局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等部门对</w:t>
      </w:r>
      <w:r w:rsidRP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各镇（街道）、市有关部门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（单位）</w:t>
      </w:r>
      <w:r w:rsidR="00CC263F"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各银行金融机构宣传发动企业入驻全国“信易贷”平台情况进行调度分析，建立健全对入驻平台企业的统计通报制度，定期上报市政府，对完成情况较好的通报表扬，对重视程度不高，完成情况不力，影响全市优化营商环境的进行通报批评。</w:t>
      </w:r>
    </w:p>
    <w:p w:rsidR="00B87A3B" w:rsidRPr="00CC263F" w:rsidRDefault="00B87A3B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为迎接枣庄</w:t>
      </w:r>
      <w:r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市优化营商环境工作专班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督导检查，</w:t>
      </w:r>
      <w:r w:rsidR="0037798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</w:t>
      </w:r>
      <w:r w:rsidR="00377986" w:rsidRP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各镇（街道）、市有关部门</w:t>
      </w:r>
      <w:r w:rsidR="0037798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（单位）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于9月30前</w:t>
      </w:r>
      <w:r w:rsidRP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活动开展情况报告电子版及包含</w:t>
      </w:r>
      <w:r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门厅展架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</w:t>
      </w:r>
      <w:r w:rsidRPr="00CC263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宣传折页</w:t>
      </w:r>
      <w:r w:rsidR="00E63A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的活动场景照片发送到市发改局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邮箱：（</w:t>
      </w:r>
      <w:r w:rsidRP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tzfgtgk@163.com，联系电话：5518960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B41C02" w:rsidRP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BF03E3" w:rsidRDefault="00EB196B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6198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如入驻平台过程中遇到问题，可拨打平台入驻支持热线，或联系平台客服进行沟通。</w:t>
      </w:r>
      <w:r w:rsidR="00911ECC" w:rsidRPr="00911EC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全国“信易贷平台”联系人：陈小娟，电话：17306001069，热线：4001016871，企业咨询电话：郭圣铨，13860122224。 </w:t>
      </w:r>
    </w:p>
    <w:p w:rsidR="00377986" w:rsidRPr="00911ECC" w:rsidRDefault="00377986" w:rsidP="0037798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A91D33" w:rsidRPr="008B5D4E" w:rsidRDefault="00835215" w:rsidP="008B5D4E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  <w:r w:rsidR="00A91D33"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 各镇(街)入驻平台企业统计表</w:t>
      </w:r>
    </w:p>
    <w:p w:rsidR="00A93197" w:rsidRPr="008B5D4E" w:rsidRDefault="00A91D33" w:rsidP="00B20B0A">
      <w:pPr>
        <w:widowControl/>
        <w:shd w:val="clear" w:color="auto" w:fill="FFFFFF"/>
        <w:spacing w:line="560" w:lineRule="exact"/>
        <w:ind w:firstLineChars="500" w:firstLine="1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</w:t>
      </w:r>
      <w:r w:rsidR="00B20B0A" w:rsidRPr="00B20B0A">
        <w:rPr>
          <w:rFonts w:hint="eastAsia"/>
        </w:rPr>
        <w:t xml:space="preserve"> </w:t>
      </w:r>
      <w:r w:rsidR="00B20B0A" w:rsidRPr="00B20B0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门厅展架、宣传折页、网站设计标准、宣传片、全国中小企业融资综合信用服务平台应用手册等相关材料</w:t>
      </w:r>
    </w:p>
    <w:p w:rsidR="00883A55" w:rsidRDefault="00883A55" w:rsidP="008B5D4E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CA73C0" w:rsidRPr="008B5D4E" w:rsidRDefault="00CA73C0" w:rsidP="008B5D4E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B551B4" w:rsidRPr="008B5D4E" w:rsidRDefault="00B551B4" w:rsidP="008B5D4E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滕州市发展和改革局   滕州市地方金融监管局</w:t>
      </w:r>
    </w:p>
    <w:p w:rsidR="00377986" w:rsidRPr="008B5D4E" w:rsidRDefault="00377986" w:rsidP="008B5D4E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377986" w:rsidRPr="008B5D4E" w:rsidRDefault="00377986" w:rsidP="008B5D4E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BF03E3" w:rsidRPr="008B5D4E" w:rsidRDefault="00E21641" w:rsidP="008B5D4E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</w:t>
      </w:r>
      <w:r w:rsidR="00C76E24"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</w:t>
      </w:r>
      <w:r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EB196B"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EB196B"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4118E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8B5D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377986" w:rsidRDefault="00377986" w:rsidP="00377986">
      <w:pPr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77986" w:rsidRDefault="00377986" w:rsidP="00377986">
      <w:pPr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77986" w:rsidRDefault="00413B22" w:rsidP="00491171">
      <w:pPr>
        <w:ind w:right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1733333" cy="1752381"/>
            <wp:effectExtent l="19050" t="0" r="217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333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71" w:rsidRDefault="00413B22" w:rsidP="00491171">
      <w:pPr>
        <w:ind w:right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全国中小企业融资综合平台枣庄站</w:t>
      </w:r>
    </w:p>
    <w:p w:rsidR="00377986" w:rsidRDefault="00377986" w:rsidP="00BF03E3">
      <w:pPr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77986" w:rsidRDefault="00377986" w:rsidP="00BF03E3">
      <w:pPr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F03E3" w:rsidRDefault="00BF03E3" w:rsidP="00BF03E3">
      <w:pPr>
        <w:ind w:right="640"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A1D43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附件：1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各镇(街)入驻平台企业统计表</w:t>
      </w:r>
    </w:p>
    <w:p w:rsidR="00BF03E3" w:rsidRPr="00BF03E3" w:rsidRDefault="00BF03E3" w:rsidP="00A91D33">
      <w:pPr>
        <w:ind w:right="1090"/>
        <w:jc w:val="right"/>
        <w:rPr>
          <w:sz w:val="30"/>
          <w:szCs w:val="30"/>
        </w:rPr>
      </w:pPr>
      <w:r w:rsidRPr="00BF03E3">
        <w:rPr>
          <w:rFonts w:hint="eastAsia"/>
          <w:sz w:val="30"/>
          <w:szCs w:val="30"/>
        </w:rPr>
        <w:t>（统计数据截至</w:t>
      </w:r>
      <w:r w:rsidRPr="00BF03E3">
        <w:rPr>
          <w:rFonts w:hint="eastAsia"/>
          <w:sz w:val="30"/>
          <w:szCs w:val="30"/>
        </w:rPr>
        <w:t>2020</w:t>
      </w:r>
      <w:r w:rsidRPr="00BF03E3">
        <w:rPr>
          <w:rFonts w:hint="eastAsia"/>
          <w:sz w:val="30"/>
          <w:szCs w:val="30"/>
        </w:rPr>
        <w:t>年</w:t>
      </w:r>
      <w:r w:rsidRPr="00BF03E3">
        <w:rPr>
          <w:rFonts w:hint="eastAsia"/>
          <w:sz w:val="30"/>
          <w:szCs w:val="30"/>
        </w:rPr>
        <w:t>7</w:t>
      </w:r>
      <w:r w:rsidRPr="00BF03E3">
        <w:rPr>
          <w:rFonts w:hint="eastAsia"/>
          <w:sz w:val="30"/>
          <w:szCs w:val="30"/>
        </w:rPr>
        <w:t>月</w:t>
      </w:r>
      <w:r w:rsidRPr="00BF03E3">
        <w:rPr>
          <w:rFonts w:hint="eastAsia"/>
          <w:sz w:val="30"/>
          <w:szCs w:val="30"/>
        </w:rPr>
        <w:t>31</w:t>
      </w:r>
      <w:r w:rsidRPr="00BF03E3">
        <w:rPr>
          <w:rFonts w:hint="eastAsia"/>
          <w:sz w:val="30"/>
          <w:szCs w:val="30"/>
        </w:rPr>
        <w:t>日）</w:t>
      </w:r>
    </w:p>
    <w:tbl>
      <w:tblPr>
        <w:tblStyle w:val="ab"/>
        <w:tblW w:w="8897" w:type="dxa"/>
        <w:tblLayout w:type="fixed"/>
        <w:tblLook w:val="04A0"/>
      </w:tblPr>
      <w:tblGrid>
        <w:gridCol w:w="1384"/>
        <w:gridCol w:w="1559"/>
        <w:gridCol w:w="1843"/>
        <w:gridCol w:w="1985"/>
        <w:gridCol w:w="2126"/>
      </w:tblGrid>
      <w:tr w:rsidR="00BF03E3" w:rsidRPr="00BF03E3" w:rsidTr="00BF03E3">
        <w:trPr>
          <w:trHeight w:hRule="exact" w:val="624"/>
          <w:tblHeader/>
        </w:trPr>
        <w:tc>
          <w:tcPr>
            <w:tcW w:w="1384" w:type="dxa"/>
            <w:vAlign w:val="center"/>
          </w:tcPr>
          <w:p w:rsidR="00BF03E3" w:rsidRPr="00BF03E3" w:rsidRDefault="00BF03E3" w:rsidP="00377986">
            <w:pPr>
              <w:widowControl/>
              <w:ind w:firstLineChars="150" w:firstLine="271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BF03E3">
              <w:rPr>
                <w:rFonts w:ascii="黑体" w:eastAsia="黑体" w:hAnsi="黑体" w:cs="黑体" w:hint="eastAsia"/>
                <w:b/>
                <w:sz w:val="18"/>
                <w:szCs w:val="18"/>
              </w:rPr>
              <w:t>镇(街)</w:t>
            </w:r>
          </w:p>
        </w:tc>
        <w:tc>
          <w:tcPr>
            <w:tcW w:w="1559" w:type="dxa"/>
            <w:vAlign w:val="center"/>
          </w:tcPr>
          <w:p w:rsidR="00BF03E3" w:rsidRPr="00BF03E3" w:rsidRDefault="00BF03E3" w:rsidP="00BF03E3">
            <w:pPr>
              <w:widowControl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BF03E3">
              <w:rPr>
                <w:rFonts w:ascii="黑体" w:eastAsia="黑体" w:hAnsi="黑体" w:cs="黑体" w:hint="eastAsia"/>
                <w:b/>
                <w:sz w:val="18"/>
                <w:szCs w:val="18"/>
              </w:rPr>
              <w:t>注册企业数（家）</w:t>
            </w:r>
          </w:p>
        </w:tc>
        <w:tc>
          <w:tcPr>
            <w:tcW w:w="1843" w:type="dxa"/>
            <w:vAlign w:val="center"/>
          </w:tcPr>
          <w:p w:rsidR="00BF03E3" w:rsidRPr="00BF03E3" w:rsidRDefault="00BF03E3" w:rsidP="00BF03E3">
            <w:pPr>
              <w:widowControl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BF03E3">
              <w:rPr>
                <w:rFonts w:ascii="黑体" w:eastAsia="黑体" w:hAnsi="黑体" w:cs="黑体" w:hint="eastAsia"/>
                <w:b/>
                <w:sz w:val="18"/>
                <w:szCs w:val="18"/>
              </w:rPr>
              <w:t>入驻平台企业数（家）</w:t>
            </w:r>
          </w:p>
        </w:tc>
        <w:tc>
          <w:tcPr>
            <w:tcW w:w="1985" w:type="dxa"/>
            <w:vAlign w:val="center"/>
          </w:tcPr>
          <w:p w:rsidR="00BF03E3" w:rsidRPr="00BF03E3" w:rsidRDefault="00BF03E3" w:rsidP="00BF03E3">
            <w:pPr>
              <w:widowControl/>
              <w:ind w:firstLineChars="100" w:firstLine="181"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BF03E3">
              <w:rPr>
                <w:rFonts w:ascii="黑体" w:eastAsia="黑体" w:hAnsi="黑体" w:cs="黑体" w:hint="eastAsia"/>
                <w:b/>
                <w:sz w:val="18"/>
                <w:szCs w:val="18"/>
              </w:rPr>
              <w:t>获得贷款笔数议</w:t>
            </w:r>
          </w:p>
        </w:tc>
        <w:tc>
          <w:tcPr>
            <w:tcW w:w="2126" w:type="dxa"/>
            <w:vAlign w:val="center"/>
          </w:tcPr>
          <w:p w:rsidR="00BF03E3" w:rsidRPr="00BF03E3" w:rsidRDefault="00BF03E3" w:rsidP="00BF03E3">
            <w:pPr>
              <w:widowControl/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 w:rsidRPr="00BF03E3">
              <w:rPr>
                <w:rFonts w:ascii="黑体" w:eastAsia="黑体" w:hAnsi="黑体" w:cs="黑体" w:hint="eastAsia"/>
                <w:b/>
                <w:sz w:val="18"/>
                <w:szCs w:val="18"/>
              </w:rPr>
              <w:t>获得贷款金额（万元）</w:t>
            </w: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鲍  沟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注册企业总量1480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A91D33">
        <w:trPr>
          <w:trHeight w:hRule="exact" w:val="51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滨  湖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注册企业总量1087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A91D33">
        <w:trPr>
          <w:trHeight w:hRule="exact" w:val="425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柴胡店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注册企业总量440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A91D33">
        <w:trPr>
          <w:trHeight w:hRule="exact" w:val="558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东  郭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注册企业总量1040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A91D33">
        <w:trPr>
          <w:trHeight w:hRule="exact" w:val="438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大  坞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注册企业总量961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A91D33">
        <w:trPr>
          <w:trHeight w:hRule="exact" w:val="572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官  桥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注册企业总量764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洪  绪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注册企业总量1603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界  河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注册企业总量960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级  索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注册企业总量969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姜  屯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注册企业总量1486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龙  阳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注册企业总量886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木  石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注册企业总量849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南沙河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注册企业总量1240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lastRenderedPageBreak/>
              <w:t>西  岗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注册企业总量1040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羊  庄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注册企业总量684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377986">
        <w:trPr>
          <w:trHeight w:hRule="exact" w:val="554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张  汪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注册企业总量1008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北  辛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注册企业总量3520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东沙河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注册企业总量482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BF03E3">
        <w:trPr>
          <w:trHeight w:hRule="exact" w:val="567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荆  河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注册企业总量4681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377986">
        <w:trPr>
          <w:trHeight w:hRule="exact" w:val="430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龙  泉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注册企业总量3615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  <w:tr w:rsidR="00BF03E3" w:rsidTr="00377986">
        <w:trPr>
          <w:trHeight w:hRule="exact" w:val="423"/>
        </w:trPr>
        <w:tc>
          <w:tcPr>
            <w:tcW w:w="1384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color w:val="000000"/>
                <w:kern w:val="0"/>
                <w:sz w:val="16"/>
                <w:szCs w:val="16"/>
              </w:rPr>
              <w:t>善  南</w:t>
            </w:r>
          </w:p>
        </w:tc>
        <w:tc>
          <w:tcPr>
            <w:tcW w:w="1559" w:type="dxa"/>
            <w:vAlign w:val="center"/>
          </w:tcPr>
          <w:p w:rsidR="00BF03E3" w:rsidRPr="00596246" w:rsidRDefault="00BF03E3" w:rsidP="0059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596246"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注册企业总量1567</w:t>
            </w:r>
          </w:p>
        </w:tc>
        <w:tc>
          <w:tcPr>
            <w:tcW w:w="1843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03E3" w:rsidRPr="00596246" w:rsidRDefault="00BF03E3" w:rsidP="00596246">
            <w:pPr>
              <w:widowControl/>
              <w:ind w:firstLine="480"/>
              <w:jc w:val="lef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</w:tr>
    </w:tbl>
    <w:p w:rsidR="00BF03E3" w:rsidRDefault="00BF03E3" w:rsidP="00A91D33">
      <w:pPr>
        <w:ind w:right="640"/>
        <w:rPr>
          <w:rFonts w:ascii="仿宋_GB2312" w:eastAsia="仿宋_GB2312" w:hAnsi="仿宋_GB2312" w:cs="仿宋_GB2312"/>
          <w:sz w:val="32"/>
          <w:szCs w:val="32"/>
        </w:rPr>
      </w:pPr>
    </w:p>
    <w:sectPr w:rsidR="00BF03E3" w:rsidSect="007F3CCA">
      <w:footerReference w:type="default" r:id="rId8"/>
      <w:pgSz w:w="11906" w:h="16838"/>
      <w:pgMar w:top="1440" w:right="1800" w:bottom="1361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C6" w:rsidRDefault="008E70C6" w:rsidP="007F3CCA">
      <w:r>
        <w:separator/>
      </w:r>
    </w:p>
  </w:endnote>
  <w:endnote w:type="continuationSeparator" w:id="0">
    <w:p w:rsidR="008E70C6" w:rsidRDefault="008E70C6" w:rsidP="007F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CA" w:rsidRDefault="00C30F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F3CCA" w:rsidRDefault="00C30FC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2164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13B22">
                  <w:rPr>
                    <w:noProof/>
                  </w:rP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C6" w:rsidRDefault="008E70C6" w:rsidP="007F3CCA">
      <w:r>
        <w:separator/>
      </w:r>
    </w:p>
  </w:footnote>
  <w:footnote w:type="continuationSeparator" w:id="0">
    <w:p w:rsidR="008E70C6" w:rsidRDefault="008E70C6" w:rsidP="007F3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CCA"/>
    <w:rsid w:val="000428C0"/>
    <w:rsid w:val="0009038E"/>
    <w:rsid w:val="000A4214"/>
    <w:rsid w:val="000B52EB"/>
    <w:rsid w:val="000D3126"/>
    <w:rsid w:val="000D4B64"/>
    <w:rsid w:val="000E350E"/>
    <w:rsid w:val="00103618"/>
    <w:rsid w:val="0010572E"/>
    <w:rsid w:val="00123FFB"/>
    <w:rsid w:val="00146B5D"/>
    <w:rsid w:val="001743EE"/>
    <w:rsid w:val="00196A90"/>
    <w:rsid w:val="001C71FF"/>
    <w:rsid w:val="00234A9D"/>
    <w:rsid w:val="00235347"/>
    <w:rsid w:val="002632F2"/>
    <w:rsid w:val="00294E59"/>
    <w:rsid w:val="002A1D43"/>
    <w:rsid w:val="002A684B"/>
    <w:rsid w:val="002B1E74"/>
    <w:rsid w:val="002B7318"/>
    <w:rsid w:val="002C0CC1"/>
    <w:rsid w:val="002E4122"/>
    <w:rsid w:val="002E641D"/>
    <w:rsid w:val="002F209C"/>
    <w:rsid w:val="002F79D0"/>
    <w:rsid w:val="00316013"/>
    <w:rsid w:val="00347C57"/>
    <w:rsid w:val="003509F3"/>
    <w:rsid w:val="003673FA"/>
    <w:rsid w:val="00377986"/>
    <w:rsid w:val="0038299F"/>
    <w:rsid w:val="003833AB"/>
    <w:rsid w:val="003833EA"/>
    <w:rsid w:val="00391DC9"/>
    <w:rsid w:val="003D638C"/>
    <w:rsid w:val="003E1B27"/>
    <w:rsid w:val="004118E4"/>
    <w:rsid w:val="00413B22"/>
    <w:rsid w:val="0041783B"/>
    <w:rsid w:val="004178C0"/>
    <w:rsid w:val="00432AA8"/>
    <w:rsid w:val="00450B86"/>
    <w:rsid w:val="00451FBB"/>
    <w:rsid w:val="004656DF"/>
    <w:rsid w:val="00473042"/>
    <w:rsid w:val="00482A84"/>
    <w:rsid w:val="00491171"/>
    <w:rsid w:val="004D32A5"/>
    <w:rsid w:val="004D79FF"/>
    <w:rsid w:val="004F4173"/>
    <w:rsid w:val="005164A4"/>
    <w:rsid w:val="00521588"/>
    <w:rsid w:val="005244A6"/>
    <w:rsid w:val="00547BA1"/>
    <w:rsid w:val="005517E1"/>
    <w:rsid w:val="0055437B"/>
    <w:rsid w:val="00567F82"/>
    <w:rsid w:val="005928E9"/>
    <w:rsid w:val="00596246"/>
    <w:rsid w:val="005977C7"/>
    <w:rsid w:val="005C0368"/>
    <w:rsid w:val="005C7C25"/>
    <w:rsid w:val="005E1E63"/>
    <w:rsid w:val="005F1C50"/>
    <w:rsid w:val="005F630F"/>
    <w:rsid w:val="00616F59"/>
    <w:rsid w:val="00641032"/>
    <w:rsid w:val="00675E6B"/>
    <w:rsid w:val="006875C2"/>
    <w:rsid w:val="00692B51"/>
    <w:rsid w:val="00693C29"/>
    <w:rsid w:val="006D4277"/>
    <w:rsid w:val="00700192"/>
    <w:rsid w:val="0070795B"/>
    <w:rsid w:val="0071776B"/>
    <w:rsid w:val="00724B46"/>
    <w:rsid w:val="00732F74"/>
    <w:rsid w:val="007351D8"/>
    <w:rsid w:val="0073548F"/>
    <w:rsid w:val="00744C44"/>
    <w:rsid w:val="007464A8"/>
    <w:rsid w:val="00776E32"/>
    <w:rsid w:val="00790FBE"/>
    <w:rsid w:val="007A4399"/>
    <w:rsid w:val="007D3DF1"/>
    <w:rsid w:val="007E1D91"/>
    <w:rsid w:val="007F3CCA"/>
    <w:rsid w:val="007F5BFE"/>
    <w:rsid w:val="00827FEB"/>
    <w:rsid w:val="00835215"/>
    <w:rsid w:val="00847B77"/>
    <w:rsid w:val="008540A1"/>
    <w:rsid w:val="0085599F"/>
    <w:rsid w:val="008563DF"/>
    <w:rsid w:val="0087727B"/>
    <w:rsid w:val="00883A55"/>
    <w:rsid w:val="008B5D4E"/>
    <w:rsid w:val="008D48FD"/>
    <w:rsid w:val="008E70C6"/>
    <w:rsid w:val="008F3B4A"/>
    <w:rsid w:val="00911ECC"/>
    <w:rsid w:val="009203DA"/>
    <w:rsid w:val="00943865"/>
    <w:rsid w:val="00955DAC"/>
    <w:rsid w:val="00972792"/>
    <w:rsid w:val="009778F7"/>
    <w:rsid w:val="00984B6D"/>
    <w:rsid w:val="009C7018"/>
    <w:rsid w:val="009D67E0"/>
    <w:rsid w:val="00A0794D"/>
    <w:rsid w:val="00A104D3"/>
    <w:rsid w:val="00A65D82"/>
    <w:rsid w:val="00A81596"/>
    <w:rsid w:val="00A91D33"/>
    <w:rsid w:val="00A93197"/>
    <w:rsid w:val="00A967A4"/>
    <w:rsid w:val="00AB3096"/>
    <w:rsid w:val="00AF2A37"/>
    <w:rsid w:val="00B20B0A"/>
    <w:rsid w:val="00B37D35"/>
    <w:rsid w:val="00B41C02"/>
    <w:rsid w:val="00B41D16"/>
    <w:rsid w:val="00B41F3D"/>
    <w:rsid w:val="00B46127"/>
    <w:rsid w:val="00B551B4"/>
    <w:rsid w:val="00B60546"/>
    <w:rsid w:val="00B65C98"/>
    <w:rsid w:val="00B77D46"/>
    <w:rsid w:val="00B87602"/>
    <w:rsid w:val="00B87A3B"/>
    <w:rsid w:val="00B90A52"/>
    <w:rsid w:val="00BE0B7B"/>
    <w:rsid w:val="00BE5725"/>
    <w:rsid w:val="00BF03E3"/>
    <w:rsid w:val="00BF65B0"/>
    <w:rsid w:val="00C057C5"/>
    <w:rsid w:val="00C153C4"/>
    <w:rsid w:val="00C1751D"/>
    <w:rsid w:val="00C250A2"/>
    <w:rsid w:val="00C30FCB"/>
    <w:rsid w:val="00C6221F"/>
    <w:rsid w:val="00C75D76"/>
    <w:rsid w:val="00C76E24"/>
    <w:rsid w:val="00C81F4D"/>
    <w:rsid w:val="00CA4EF1"/>
    <w:rsid w:val="00CA5B4C"/>
    <w:rsid w:val="00CA73C0"/>
    <w:rsid w:val="00CB72A1"/>
    <w:rsid w:val="00CC263F"/>
    <w:rsid w:val="00CD2CBA"/>
    <w:rsid w:val="00CD3333"/>
    <w:rsid w:val="00CE5DD0"/>
    <w:rsid w:val="00CF3831"/>
    <w:rsid w:val="00D06DDD"/>
    <w:rsid w:val="00D2014B"/>
    <w:rsid w:val="00D273B9"/>
    <w:rsid w:val="00D52DC2"/>
    <w:rsid w:val="00D8002E"/>
    <w:rsid w:val="00D933C0"/>
    <w:rsid w:val="00D97BAE"/>
    <w:rsid w:val="00DA0179"/>
    <w:rsid w:val="00DB1248"/>
    <w:rsid w:val="00DE40DA"/>
    <w:rsid w:val="00DF416D"/>
    <w:rsid w:val="00E00875"/>
    <w:rsid w:val="00E21641"/>
    <w:rsid w:val="00E445C0"/>
    <w:rsid w:val="00E57B7C"/>
    <w:rsid w:val="00E604F0"/>
    <w:rsid w:val="00E63A11"/>
    <w:rsid w:val="00E64ED8"/>
    <w:rsid w:val="00EA0142"/>
    <w:rsid w:val="00EA17B8"/>
    <w:rsid w:val="00EB196B"/>
    <w:rsid w:val="00EC2DE3"/>
    <w:rsid w:val="00EF7940"/>
    <w:rsid w:val="00F6556A"/>
    <w:rsid w:val="00F72892"/>
    <w:rsid w:val="00F77B98"/>
    <w:rsid w:val="00F87146"/>
    <w:rsid w:val="00F95C07"/>
    <w:rsid w:val="00F96B6E"/>
    <w:rsid w:val="00FB72A2"/>
    <w:rsid w:val="00FC738E"/>
    <w:rsid w:val="00FD18C9"/>
    <w:rsid w:val="00FD533C"/>
    <w:rsid w:val="00FE3A19"/>
    <w:rsid w:val="0155632F"/>
    <w:rsid w:val="01933F6C"/>
    <w:rsid w:val="025B1D4B"/>
    <w:rsid w:val="036F11BC"/>
    <w:rsid w:val="0381678D"/>
    <w:rsid w:val="03B030D5"/>
    <w:rsid w:val="03E07B19"/>
    <w:rsid w:val="04434470"/>
    <w:rsid w:val="04654FF0"/>
    <w:rsid w:val="048B446B"/>
    <w:rsid w:val="05D74073"/>
    <w:rsid w:val="05E50266"/>
    <w:rsid w:val="08CE51F1"/>
    <w:rsid w:val="09C96076"/>
    <w:rsid w:val="09CF3077"/>
    <w:rsid w:val="0B641B57"/>
    <w:rsid w:val="0D79056F"/>
    <w:rsid w:val="0DBE2C53"/>
    <w:rsid w:val="0ED573CC"/>
    <w:rsid w:val="0F1D5C6E"/>
    <w:rsid w:val="0F5D78EB"/>
    <w:rsid w:val="1158393C"/>
    <w:rsid w:val="12DE0E80"/>
    <w:rsid w:val="13001573"/>
    <w:rsid w:val="141C5E0A"/>
    <w:rsid w:val="152D27A8"/>
    <w:rsid w:val="15F76C3D"/>
    <w:rsid w:val="16354478"/>
    <w:rsid w:val="16620CE9"/>
    <w:rsid w:val="17D22E8C"/>
    <w:rsid w:val="18372363"/>
    <w:rsid w:val="193D25BE"/>
    <w:rsid w:val="195B7ABC"/>
    <w:rsid w:val="19DA5C0A"/>
    <w:rsid w:val="19E40BC7"/>
    <w:rsid w:val="19E41F74"/>
    <w:rsid w:val="1A122D55"/>
    <w:rsid w:val="1A3B75AD"/>
    <w:rsid w:val="1A5E33C6"/>
    <w:rsid w:val="1D9B59A5"/>
    <w:rsid w:val="1DB34732"/>
    <w:rsid w:val="1EEA3D12"/>
    <w:rsid w:val="1F5E4FC2"/>
    <w:rsid w:val="1F647849"/>
    <w:rsid w:val="20354256"/>
    <w:rsid w:val="207064FF"/>
    <w:rsid w:val="214504AC"/>
    <w:rsid w:val="21BE5BF1"/>
    <w:rsid w:val="221E4E36"/>
    <w:rsid w:val="2426303E"/>
    <w:rsid w:val="24A7300E"/>
    <w:rsid w:val="26553F3A"/>
    <w:rsid w:val="27155DCC"/>
    <w:rsid w:val="27321B36"/>
    <w:rsid w:val="277A23D3"/>
    <w:rsid w:val="2854389B"/>
    <w:rsid w:val="2A661C8B"/>
    <w:rsid w:val="2B97214E"/>
    <w:rsid w:val="2BC40C9E"/>
    <w:rsid w:val="2BD62DAE"/>
    <w:rsid w:val="2CA24C12"/>
    <w:rsid w:val="2D3A7677"/>
    <w:rsid w:val="2E2D78E0"/>
    <w:rsid w:val="2E763CDF"/>
    <w:rsid w:val="2E911EEE"/>
    <w:rsid w:val="2F9D2AF7"/>
    <w:rsid w:val="314D4973"/>
    <w:rsid w:val="33C54BB1"/>
    <w:rsid w:val="34BC0716"/>
    <w:rsid w:val="351926B2"/>
    <w:rsid w:val="362156F6"/>
    <w:rsid w:val="363E03A6"/>
    <w:rsid w:val="36412F1D"/>
    <w:rsid w:val="369F5295"/>
    <w:rsid w:val="36CE67B2"/>
    <w:rsid w:val="370C060C"/>
    <w:rsid w:val="385E2ACA"/>
    <w:rsid w:val="3866756B"/>
    <w:rsid w:val="3A690B11"/>
    <w:rsid w:val="3BC074B8"/>
    <w:rsid w:val="3CFB008E"/>
    <w:rsid w:val="409F22B0"/>
    <w:rsid w:val="413A2827"/>
    <w:rsid w:val="4250542A"/>
    <w:rsid w:val="43677A21"/>
    <w:rsid w:val="43AD3530"/>
    <w:rsid w:val="44567B1B"/>
    <w:rsid w:val="477F7C96"/>
    <w:rsid w:val="479116CF"/>
    <w:rsid w:val="47F444D1"/>
    <w:rsid w:val="493648A8"/>
    <w:rsid w:val="49C015F0"/>
    <w:rsid w:val="4A89007F"/>
    <w:rsid w:val="4AED0E91"/>
    <w:rsid w:val="4BB80E3F"/>
    <w:rsid w:val="4CEA0F59"/>
    <w:rsid w:val="4D916D0E"/>
    <w:rsid w:val="4E994784"/>
    <w:rsid w:val="51DF7E91"/>
    <w:rsid w:val="54574AC6"/>
    <w:rsid w:val="54BA5BAE"/>
    <w:rsid w:val="54CB5980"/>
    <w:rsid w:val="55966EC9"/>
    <w:rsid w:val="55B27F5F"/>
    <w:rsid w:val="55BD0ABA"/>
    <w:rsid w:val="55FB0D96"/>
    <w:rsid w:val="566E51C3"/>
    <w:rsid w:val="57D27F7D"/>
    <w:rsid w:val="5C074A50"/>
    <w:rsid w:val="5E4974C4"/>
    <w:rsid w:val="5E695603"/>
    <w:rsid w:val="5FB63040"/>
    <w:rsid w:val="5FF738F3"/>
    <w:rsid w:val="60AA3A58"/>
    <w:rsid w:val="60B5764E"/>
    <w:rsid w:val="632C5BE9"/>
    <w:rsid w:val="63CB5129"/>
    <w:rsid w:val="64B57D2F"/>
    <w:rsid w:val="6574082F"/>
    <w:rsid w:val="65E513DD"/>
    <w:rsid w:val="670E1DD1"/>
    <w:rsid w:val="689F79EA"/>
    <w:rsid w:val="68CA26C0"/>
    <w:rsid w:val="6A1933F4"/>
    <w:rsid w:val="6C9247EC"/>
    <w:rsid w:val="6CD72901"/>
    <w:rsid w:val="6FFF2C69"/>
    <w:rsid w:val="70E8254A"/>
    <w:rsid w:val="714A7929"/>
    <w:rsid w:val="734A3B79"/>
    <w:rsid w:val="74D76E49"/>
    <w:rsid w:val="74F156BC"/>
    <w:rsid w:val="74F83A7A"/>
    <w:rsid w:val="7547495E"/>
    <w:rsid w:val="762D436B"/>
    <w:rsid w:val="76404CAE"/>
    <w:rsid w:val="780B58F6"/>
    <w:rsid w:val="782928BE"/>
    <w:rsid w:val="78FA6B2C"/>
    <w:rsid w:val="7C0576F8"/>
    <w:rsid w:val="7C13549D"/>
    <w:rsid w:val="7C1B2696"/>
    <w:rsid w:val="7F9A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C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3C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F3C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7F3CC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Heading21">
    <w:name w:val="Heading #2|1"/>
    <w:basedOn w:val="a"/>
    <w:qFormat/>
    <w:rsid w:val="00732F74"/>
    <w:pPr>
      <w:spacing w:after="540" w:line="594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styleId="a6">
    <w:name w:val="List Paragraph"/>
    <w:basedOn w:val="a"/>
    <w:uiPriority w:val="99"/>
    <w:unhideWhenUsed/>
    <w:rsid w:val="0070795B"/>
    <w:pPr>
      <w:ind w:firstLineChars="200" w:firstLine="420"/>
    </w:pPr>
  </w:style>
  <w:style w:type="character" w:styleId="a7">
    <w:name w:val="Hyperlink"/>
    <w:basedOn w:val="a0"/>
    <w:rsid w:val="00B37D35"/>
    <w:rPr>
      <w:color w:val="0563C1" w:themeColor="hyperlink"/>
      <w:u w:val="single"/>
    </w:rPr>
  </w:style>
  <w:style w:type="character" w:customStyle="1" w:styleId="a8">
    <w:name w:val="正文文本_"/>
    <w:basedOn w:val="a0"/>
    <w:link w:val="1"/>
    <w:rsid w:val="005C0368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character" w:customStyle="1" w:styleId="2">
    <w:name w:val="标题 #2_"/>
    <w:basedOn w:val="a0"/>
    <w:link w:val="20"/>
    <w:rsid w:val="005C0368"/>
    <w:rPr>
      <w:rFonts w:ascii="MingLiU" w:eastAsia="MingLiU" w:hAnsi="MingLiU" w:cs="MingLiU"/>
      <w:sz w:val="42"/>
      <w:szCs w:val="42"/>
      <w:shd w:val="clear" w:color="auto" w:fill="FFFFFF"/>
      <w:lang w:val="zh-CN" w:bidi="zh-CN"/>
    </w:rPr>
  </w:style>
  <w:style w:type="character" w:customStyle="1" w:styleId="a9">
    <w:name w:val="其他_"/>
    <w:basedOn w:val="a0"/>
    <w:link w:val="aa"/>
    <w:rsid w:val="005C0368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8"/>
    <w:rsid w:val="005C0368"/>
    <w:pPr>
      <w:shd w:val="clear" w:color="auto" w:fill="FFFFFF"/>
      <w:spacing w:line="389" w:lineRule="auto"/>
      <w:ind w:firstLine="400"/>
      <w:jc w:val="left"/>
    </w:pPr>
    <w:rPr>
      <w:rFonts w:ascii="MingLiU" w:eastAsia="MingLiU" w:hAnsi="MingLiU" w:cs="MingLiU"/>
      <w:kern w:val="0"/>
      <w:sz w:val="30"/>
      <w:szCs w:val="30"/>
      <w:lang w:val="zh-CN" w:bidi="zh-CN"/>
    </w:rPr>
  </w:style>
  <w:style w:type="paragraph" w:customStyle="1" w:styleId="20">
    <w:name w:val="标题 #2"/>
    <w:basedOn w:val="a"/>
    <w:link w:val="2"/>
    <w:rsid w:val="005C0368"/>
    <w:pPr>
      <w:shd w:val="clear" w:color="auto" w:fill="FFFFFF"/>
      <w:spacing w:after="640" w:line="604" w:lineRule="exact"/>
      <w:jc w:val="center"/>
      <w:outlineLvl w:val="1"/>
    </w:pPr>
    <w:rPr>
      <w:rFonts w:ascii="MingLiU" w:eastAsia="MingLiU" w:hAnsi="MingLiU" w:cs="MingLiU"/>
      <w:kern w:val="0"/>
      <w:sz w:val="42"/>
      <w:szCs w:val="42"/>
      <w:lang w:val="zh-CN" w:bidi="zh-CN"/>
    </w:rPr>
  </w:style>
  <w:style w:type="paragraph" w:customStyle="1" w:styleId="aa">
    <w:name w:val="其他"/>
    <w:basedOn w:val="a"/>
    <w:link w:val="a9"/>
    <w:rsid w:val="005C0368"/>
    <w:pPr>
      <w:shd w:val="clear" w:color="auto" w:fill="FFFFFF"/>
      <w:spacing w:line="389" w:lineRule="auto"/>
      <w:ind w:firstLine="400"/>
      <w:jc w:val="left"/>
    </w:pPr>
    <w:rPr>
      <w:rFonts w:ascii="MingLiU" w:eastAsia="MingLiU" w:hAnsi="MingLiU" w:cs="MingLiU"/>
      <w:kern w:val="0"/>
      <w:sz w:val="30"/>
      <w:szCs w:val="30"/>
      <w:lang w:val="zh-CN" w:bidi="zh-CN"/>
    </w:rPr>
  </w:style>
  <w:style w:type="table" w:styleId="ab">
    <w:name w:val="Table Grid"/>
    <w:basedOn w:val="a1"/>
    <w:qFormat/>
    <w:rsid w:val="002A6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"/>
    <w:rsid w:val="00BF03E3"/>
    <w:pPr>
      <w:ind w:leftChars="2500" w:left="100"/>
    </w:pPr>
  </w:style>
  <w:style w:type="character" w:customStyle="1" w:styleId="Char">
    <w:name w:val="日期 Char"/>
    <w:basedOn w:val="a0"/>
    <w:link w:val="ac"/>
    <w:rsid w:val="00BF03E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toc 1"/>
    <w:basedOn w:val="a"/>
    <w:next w:val="a"/>
    <w:qFormat/>
    <w:rsid w:val="00BF03E3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d">
    <w:name w:val="Balloon Text"/>
    <w:basedOn w:val="a"/>
    <w:link w:val="Char0"/>
    <w:rsid w:val="00491171"/>
    <w:rPr>
      <w:sz w:val="18"/>
      <w:szCs w:val="18"/>
    </w:rPr>
  </w:style>
  <w:style w:type="character" w:customStyle="1" w:styleId="Char0">
    <w:name w:val="批注框文本 Char"/>
    <w:basedOn w:val="a0"/>
    <w:link w:val="ad"/>
    <w:rsid w:val="004911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8457">
                          <w:marLeft w:val="0"/>
                          <w:marRight w:val="0"/>
                          <w:marTop w:val="1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1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7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信用办002</dc:creator>
  <cp:lastModifiedBy>Administrator</cp:lastModifiedBy>
  <cp:revision>2</cp:revision>
  <cp:lastPrinted>2020-08-24T03:07:00Z</cp:lastPrinted>
  <dcterms:created xsi:type="dcterms:W3CDTF">2020-09-11T06:29:00Z</dcterms:created>
  <dcterms:modified xsi:type="dcterms:W3CDTF">2020-09-11T06:29:00Z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