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80" w:rsidRDefault="006A3B80" w:rsidP="006A3B80">
      <w:pPr>
        <w:spacing w:line="550" w:lineRule="exact"/>
        <w:jc w:val="left"/>
        <w:rPr>
          <w:rFonts w:ascii="黑体" w:eastAsia="黑体" w:hAnsi="黑体"/>
          <w:sz w:val="32"/>
          <w:szCs w:val="32"/>
        </w:rPr>
      </w:pPr>
      <w:r w:rsidRPr="00242D68">
        <w:rPr>
          <w:rFonts w:ascii="黑体" w:eastAsia="黑体" w:hAnsi="黑体" w:hint="eastAsia"/>
          <w:sz w:val="32"/>
          <w:szCs w:val="32"/>
        </w:rPr>
        <w:t>附件</w:t>
      </w:r>
    </w:p>
    <w:p w:rsidR="006A3B80" w:rsidRDefault="006A3B80" w:rsidP="006A3B80">
      <w:pPr>
        <w:spacing w:line="460" w:lineRule="exact"/>
        <w:jc w:val="left"/>
        <w:rPr>
          <w:rFonts w:ascii="黑体" w:eastAsia="黑体" w:hAnsi="黑体"/>
          <w:sz w:val="32"/>
          <w:szCs w:val="32"/>
        </w:rPr>
      </w:pPr>
    </w:p>
    <w:p w:rsidR="006A3B80" w:rsidRPr="00242D68" w:rsidRDefault="006A3B80" w:rsidP="006A3B80">
      <w:pPr>
        <w:spacing w:line="550" w:lineRule="exact"/>
        <w:jc w:val="center"/>
        <w:rPr>
          <w:rFonts w:ascii="方正小标宋简体" w:eastAsia="方正小标宋简体" w:hAnsi="宋体" w:cs="宋体"/>
          <w:color w:val="252525"/>
          <w:kern w:val="0"/>
          <w:sz w:val="44"/>
          <w:szCs w:val="44"/>
        </w:rPr>
      </w:pPr>
      <w:r w:rsidRPr="00242D68">
        <w:rPr>
          <w:rFonts w:ascii="方正小标宋简体" w:eastAsia="方正小标宋简体" w:hAnsi="宋体" w:cs="宋体" w:hint="eastAsia"/>
          <w:color w:val="252525"/>
          <w:kern w:val="0"/>
          <w:sz w:val="44"/>
          <w:szCs w:val="44"/>
        </w:rPr>
        <w:t>山东省城市道路挖掘修复费收费标准</w:t>
      </w:r>
    </w:p>
    <w:p w:rsidR="006A3B80" w:rsidRPr="00242D68" w:rsidRDefault="006A3B80" w:rsidP="006A3B80">
      <w:pPr>
        <w:spacing w:line="550" w:lineRule="exact"/>
        <w:jc w:val="left"/>
        <w:rPr>
          <w:rFonts w:ascii="宋体" w:cs="宋体"/>
          <w:color w:val="252525"/>
          <w:kern w:val="0"/>
          <w:sz w:val="24"/>
          <w:szCs w:val="24"/>
        </w:rPr>
      </w:pPr>
    </w:p>
    <w:tbl>
      <w:tblPr>
        <w:tblW w:w="9222" w:type="dxa"/>
        <w:jc w:val="center"/>
        <w:tblCellSpacing w:w="15" w:type="dxa"/>
        <w:tblCellMar>
          <w:left w:w="0" w:type="dxa"/>
          <w:right w:w="0" w:type="dxa"/>
        </w:tblCellMar>
        <w:tblLook w:val="00A0"/>
      </w:tblPr>
      <w:tblGrid>
        <w:gridCol w:w="1520"/>
        <w:gridCol w:w="2249"/>
        <w:gridCol w:w="2577"/>
        <w:gridCol w:w="2876"/>
      </w:tblGrid>
      <w:tr w:rsidR="006A3B80" w:rsidRPr="00B96825" w:rsidTr="0076318D">
        <w:trPr>
          <w:trHeight w:val="879"/>
          <w:tblCellSpacing w:w="15" w:type="dxa"/>
          <w:jc w:val="center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20" w:lineRule="atLeast"/>
              <w:jc w:val="center"/>
              <w:rPr>
                <w:rFonts w:ascii="黑体" w:eastAsia="黑体" w:hAnsi="黑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20" w:lineRule="atLeast"/>
              <w:jc w:val="center"/>
              <w:rPr>
                <w:rFonts w:ascii="黑体" w:eastAsia="黑体" w:hAnsi="黑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道路类型</w:t>
            </w:r>
          </w:p>
        </w:tc>
        <w:tc>
          <w:tcPr>
            <w:tcW w:w="2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Default="006A3B80" w:rsidP="0076318D">
            <w:pPr>
              <w:widowControl/>
              <w:spacing w:line="42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2D6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收费标准</w:t>
            </w:r>
          </w:p>
          <w:p w:rsidR="006A3B80" w:rsidRPr="00242D68" w:rsidRDefault="006A3B80" w:rsidP="0076318D">
            <w:pPr>
              <w:widowControl/>
              <w:spacing w:line="420" w:lineRule="atLeast"/>
              <w:jc w:val="center"/>
              <w:rPr>
                <w:rFonts w:ascii="黑体" w:eastAsia="黑体" w:hAnsi="黑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（元</w:t>
            </w:r>
            <w:r w:rsidRPr="00242D68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/</w:t>
            </w:r>
            <w:r w:rsidRPr="00242D6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平方米）</w:t>
            </w:r>
          </w:p>
        </w:tc>
        <w:tc>
          <w:tcPr>
            <w:tcW w:w="2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3B80" w:rsidRPr="00242D68" w:rsidRDefault="006A3B80" w:rsidP="0076318D">
            <w:pPr>
              <w:widowControl/>
              <w:spacing w:line="42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A3B80" w:rsidRPr="00B96825" w:rsidTr="0076318D">
        <w:trPr>
          <w:trHeight w:val="927"/>
          <w:tblCellSpacing w:w="15" w:type="dxa"/>
          <w:jc w:val="center"/>
        </w:trPr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主次干路</w:t>
            </w:r>
          </w:p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沥青路面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2831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6A3B80" w:rsidRPr="00242D68" w:rsidRDefault="006A3B80" w:rsidP="0076318D">
            <w:pPr>
              <w:widowControl/>
              <w:spacing w:line="360" w:lineRule="exact"/>
              <w:ind w:firstLineChars="200" w:firstLine="4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新建道路：凡需挖掘新建、改建、扩建后交付使用未满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年或者大修竣工后未满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年的城市道路，经许可后，掘路修复费在收费标准基础上加倍收取。具体为：一年内收取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倍、两年内收取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倍、三年内收取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倍、四年内收取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1.5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倍、五年内收取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1.2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倍。</w:t>
            </w:r>
          </w:p>
          <w:p w:rsidR="006A3B80" w:rsidRPr="00242D68" w:rsidRDefault="006A3B80" w:rsidP="0076318D">
            <w:pPr>
              <w:widowControl/>
              <w:spacing w:line="360" w:lineRule="exact"/>
              <w:ind w:firstLineChars="200" w:firstLine="4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计划外挖掘：已建立城市道路挖掘计划管理的市、县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市、区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，对于未提报年度计划的挖掘项目，经许可后，掘路修复费在收费标准基础上加收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倍。</w:t>
            </w:r>
          </w:p>
          <w:p w:rsidR="006A3B80" w:rsidRPr="00242D68" w:rsidRDefault="006A3B80" w:rsidP="0076318D">
            <w:pPr>
              <w:widowControl/>
              <w:spacing w:line="360" w:lineRule="exact"/>
              <w:ind w:firstLineChars="200" w:firstLine="4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3. 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违章挖掘：市政工程主管部门发现建设单位违章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或超出批准面积部分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开挖，以及人为损坏市政设施的，按本标准的</w:t>
            </w: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倍加收掘路修复费，并赔偿相应损失。</w:t>
            </w:r>
          </w:p>
        </w:tc>
      </w:tr>
      <w:tr w:rsidR="006A3B80" w:rsidRPr="00B96825" w:rsidTr="0076318D">
        <w:trPr>
          <w:trHeight w:val="927"/>
          <w:tblCellSpacing w:w="15" w:type="dxa"/>
          <w:jc w:val="center"/>
        </w:trPr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支路与非机动车道沥青路面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831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3B80" w:rsidRPr="00B96825" w:rsidTr="0076318D">
        <w:trPr>
          <w:trHeight w:val="927"/>
          <w:tblCellSpacing w:w="15" w:type="dxa"/>
          <w:jc w:val="center"/>
        </w:trPr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条（料）石路面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831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3B80" w:rsidRPr="00B96825" w:rsidTr="0076318D">
        <w:trPr>
          <w:trHeight w:val="927"/>
          <w:tblCellSpacing w:w="15" w:type="dxa"/>
          <w:jc w:val="center"/>
        </w:trPr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252525"/>
                <w:kern w:val="0"/>
                <w:sz w:val="24"/>
                <w:szCs w:val="24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彩色沥青路面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2831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3B80" w:rsidRPr="00B96825" w:rsidTr="0076318D">
        <w:trPr>
          <w:trHeight w:val="946"/>
          <w:tblCellSpacing w:w="15" w:type="dxa"/>
          <w:jc w:val="center"/>
        </w:trPr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252525"/>
                <w:kern w:val="0"/>
                <w:sz w:val="24"/>
                <w:szCs w:val="24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水泥混凝土</w:t>
            </w:r>
          </w:p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路面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831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3B80" w:rsidRPr="00B96825" w:rsidTr="0076318D">
        <w:trPr>
          <w:trHeight w:val="927"/>
          <w:tblCellSpacing w:w="15" w:type="dxa"/>
          <w:jc w:val="center"/>
        </w:trPr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彩色方砖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831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3B80" w:rsidRPr="00B96825" w:rsidTr="0076318D">
        <w:trPr>
          <w:trHeight w:val="927"/>
          <w:tblCellSpacing w:w="15" w:type="dxa"/>
          <w:jc w:val="center"/>
        </w:trPr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252525"/>
                <w:kern w:val="0"/>
                <w:sz w:val="24"/>
                <w:szCs w:val="24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人行步道方砖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831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3B80" w:rsidRPr="00B96825" w:rsidTr="0076318D">
        <w:trPr>
          <w:trHeight w:val="910"/>
          <w:tblCellSpacing w:w="15" w:type="dxa"/>
          <w:jc w:val="center"/>
        </w:trPr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252525"/>
                <w:kern w:val="0"/>
                <w:sz w:val="24"/>
                <w:szCs w:val="24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砂石路面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252525"/>
                <w:kern w:val="0"/>
                <w:sz w:val="24"/>
                <w:szCs w:val="24"/>
              </w:rPr>
            </w:pPr>
            <w:r w:rsidRPr="00242D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83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3B80" w:rsidRPr="00242D68" w:rsidRDefault="006A3B80" w:rsidP="0076318D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A3B80" w:rsidRPr="00242D68" w:rsidRDefault="006A3B80" w:rsidP="006A3B80">
      <w:pPr>
        <w:widowControl/>
        <w:shd w:val="clear" w:color="auto" w:fill="FFFFFF"/>
        <w:spacing w:line="420" w:lineRule="atLeast"/>
        <w:ind w:hanging="62"/>
        <w:jc w:val="left"/>
        <w:rPr>
          <w:rFonts w:ascii="宋体" w:cs="宋体"/>
          <w:color w:val="252525"/>
          <w:kern w:val="0"/>
          <w:sz w:val="24"/>
          <w:szCs w:val="24"/>
        </w:rPr>
      </w:pPr>
      <w:r w:rsidRPr="00242D68">
        <w:rPr>
          <w:rFonts w:ascii="宋体" w:hAnsi="宋体" w:cs="宋体" w:hint="eastAsia"/>
          <w:color w:val="252525"/>
          <w:kern w:val="0"/>
          <w:sz w:val="24"/>
          <w:szCs w:val="24"/>
        </w:rPr>
        <w:t xml:space="preserve">　　注：</w:t>
      </w:r>
      <w:r w:rsidRPr="00242D68">
        <w:rPr>
          <w:rFonts w:ascii="宋体" w:hAnsi="宋体" w:cs="宋体"/>
          <w:color w:val="252525"/>
          <w:kern w:val="0"/>
          <w:sz w:val="24"/>
          <w:szCs w:val="24"/>
        </w:rPr>
        <w:t>1</w:t>
      </w:r>
      <w:r w:rsidRPr="00242D68">
        <w:rPr>
          <w:rFonts w:ascii="宋体" w:hAnsi="宋体" w:cs="宋体" w:hint="eastAsia"/>
          <w:color w:val="252525"/>
          <w:kern w:val="0"/>
          <w:sz w:val="24"/>
          <w:szCs w:val="24"/>
        </w:rPr>
        <w:t>、收费面积以实际挖掘面积为准。</w:t>
      </w:r>
    </w:p>
    <w:p w:rsidR="006A3B80" w:rsidRPr="00242D68" w:rsidRDefault="006A3B80" w:rsidP="006A3B80">
      <w:pPr>
        <w:widowControl/>
        <w:shd w:val="clear" w:color="auto" w:fill="FFFFFF"/>
        <w:spacing w:line="420" w:lineRule="atLeast"/>
        <w:ind w:hanging="62"/>
        <w:jc w:val="left"/>
        <w:rPr>
          <w:rFonts w:ascii="宋体" w:cs="宋体"/>
          <w:color w:val="252525"/>
          <w:kern w:val="0"/>
          <w:sz w:val="24"/>
          <w:szCs w:val="24"/>
        </w:rPr>
      </w:pPr>
      <w:r w:rsidRPr="00242D68">
        <w:rPr>
          <w:rFonts w:ascii="宋体" w:hAnsi="宋体" w:cs="宋体" w:hint="eastAsia"/>
          <w:color w:val="252525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252525"/>
          <w:kern w:val="0"/>
          <w:sz w:val="24"/>
          <w:szCs w:val="24"/>
        </w:rPr>
        <w:t xml:space="preserve">    </w:t>
      </w:r>
      <w:r w:rsidRPr="00242D68">
        <w:rPr>
          <w:rFonts w:ascii="宋体" w:hAnsi="宋体" w:cs="宋体"/>
          <w:color w:val="252525"/>
          <w:kern w:val="0"/>
          <w:sz w:val="24"/>
          <w:szCs w:val="24"/>
        </w:rPr>
        <w:t>2</w:t>
      </w:r>
      <w:r w:rsidRPr="00242D68">
        <w:rPr>
          <w:rFonts w:ascii="宋体" w:hAnsi="宋体" w:cs="宋体" w:hint="eastAsia"/>
          <w:color w:val="252525"/>
          <w:kern w:val="0"/>
          <w:sz w:val="24"/>
          <w:szCs w:val="24"/>
        </w:rPr>
        <w:t>、缘石、</w:t>
      </w:r>
      <w:proofErr w:type="gramStart"/>
      <w:r w:rsidRPr="00242D68">
        <w:rPr>
          <w:rFonts w:ascii="宋体" w:hAnsi="宋体" w:cs="宋体" w:hint="eastAsia"/>
          <w:color w:val="252525"/>
          <w:kern w:val="0"/>
          <w:sz w:val="24"/>
          <w:szCs w:val="24"/>
        </w:rPr>
        <w:t>侧石按</w:t>
      </w:r>
      <w:proofErr w:type="gramEnd"/>
      <w:r w:rsidRPr="00242D68">
        <w:rPr>
          <w:rFonts w:ascii="宋体" w:hAnsi="宋体" w:cs="宋体" w:hint="eastAsia"/>
          <w:color w:val="252525"/>
          <w:kern w:val="0"/>
          <w:sz w:val="24"/>
          <w:szCs w:val="24"/>
        </w:rPr>
        <w:t>实际价格收费。</w:t>
      </w:r>
    </w:p>
    <w:p w:rsidR="006A3B80" w:rsidRDefault="006A3B80" w:rsidP="006A3B80">
      <w:pPr>
        <w:widowControl/>
        <w:shd w:val="clear" w:color="auto" w:fill="FFFFFF"/>
        <w:spacing w:line="420" w:lineRule="atLeast"/>
        <w:ind w:hanging="62"/>
        <w:jc w:val="left"/>
        <w:rPr>
          <w:rFonts w:ascii="宋体" w:cs="宋体"/>
          <w:color w:val="252525"/>
          <w:kern w:val="0"/>
          <w:sz w:val="24"/>
          <w:szCs w:val="24"/>
        </w:rPr>
      </w:pPr>
      <w:r w:rsidRPr="00242D68">
        <w:rPr>
          <w:rFonts w:ascii="宋体" w:hAnsi="宋体" w:cs="宋体" w:hint="eastAsia"/>
          <w:color w:val="252525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252525"/>
          <w:kern w:val="0"/>
          <w:sz w:val="24"/>
          <w:szCs w:val="24"/>
        </w:rPr>
        <w:t xml:space="preserve">    </w:t>
      </w:r>
      <w:r w:rsidRPr="00242D68">
        <w:rPr>
          <w:rFonts w:ascii="宋体" w:hAnsi="宋体" w:cs="宋体"/>
          <w:color w:val="252525"/>
          <w:kern w:val="0"/>
          <w:sz w:val="24"/>
          <w:szCs w:val="24"/>
        </w:rPr>
        <w:t>3</w:t>
      </w:r>
      <w:r w:rsidRPr="00242D68">
        <w:rPr>
          <w:rFonts w:ascii="宋体" w:hAnsi="宋体" w:cs="宋体" w:hint="eastAsia"/>
          <w:color w:val="252525"/>
          <w:kern w:val="0"/>
          <w:sz w:val="24"/>
          <w:szCs w:val="24"/>
        </w:rPr>
        <w:t>、表中未列入的其它材质人行道按实际价格收费。</w:t>
      </w:r>
    </w:p>
    <w:p w:rsidR="006A3B80" w:rsidRDefault="006A3B80" w:rsidP="006A3B80">
      <w:pPr>
        <w:widowControl/>
        <w:shd w:val="clear" w:color="auto" w:fill="FFFFFF"/>
        <w:spacing w:line="420" w:lineRule="atLeast"/>
        <w:ind w:hanging="62"/>
        <w:jc w:val="left"/>
        <w:rPr>
          <w:rFonts w:ascii="宋体" w:cs="宋体"/>
          <w:color w:val="252525"/>
          <w:kern w:val="0"/>
          <w:sz w:val="24"/>
          <w:szCs w:val="24"/>
        </w:rPr>
      </w:pPr>
    </w:p>
    <w:p w:rsidR="006C4E82" w:rsidRPr="006A3B80" w:rsidRDefault="006C4E82"/>
    <w:sectPr w:rsidR="006C4E82" w:rsidRPr="006A3B80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B80"/>
    <w:rsid w:val="00590476"/>
    <w:rsid w:val="006A3B80"/>
    <w:rsid w:val="006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2021-07-06T02:25:00Z</dcterms:created>
  <dcterms:modified xsi:type="dcterms:W3CDTF">2021-07-06T02:25:00Z</dcterms:modified>
</cp:coreProperties>
</file>