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color w:val="FF000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滕州市应急管理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专家工作情况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企业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评价表</w:t>
      </w:r>
      <w:bookmarkEnd w:id="0"/>
    </w:p>
    <w:p>
      <w:pPr>
        <w:snapToGrid w:val="0"/>
        <w:spacing w:line="240" w:lineRule="exact"/>
        <w:rPr>
          <w:rFonts w:hint="eastAsia" w:ascii="黑体" w:hAnsi="黑体" w:eastAsia="黑体" w:cs="黑体"/>
          <w:color w:val="FF0000"/>
          <w:sz w:val="44"/>
          <w:szCs w:val="44"/>
          <w:lang w:eastAsia="zh-CN"/>
        </w:rPr>
      </w:pP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40"/>
        <w:gridCol w:w="1890"/>
        <w:gridCol w:w="214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专家姓名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专家单位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工作时间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专家工作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任务内容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工作评价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业务水平方面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工作态度方面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公平公正方面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廉洁自律方面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优秀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良好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不合格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极差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总体评价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lang w:eastAsia="zh-CN"/>
              </w:rPr>
            </w:pPr>
          </w:p>
          <w:p>
            <w:pPr>
              <w:ind w:firstLine="2520" w:firstLineChars="1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单位（公章）：</w:t>
            </w:r>
          </w:p>
          <w:p>
            <w:pPr>
              <w:ind w:firstLine="7245" w:firstLineChars="345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noWrap w:val="0"/>
            <w:vAlign w:val="center"/>
          </w:tcPr>
          <w:p>
            <w:r>
              <w:t>备  注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/>
        </w:tc>
      </w:tr>
    </w:tbl>
    <w:p>
      <w:pPr>
        <w:snapToGrid w:val="0"/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1.工作情况评价分为优秀、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良好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合格、不合格、极差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5个等次，企业在对应空格内打“</w:t>
      </w:r>
      <w:r>
        <w:rPr>
          <w:rFonts w:hint="default" w:ascii="Arial" w:hAnsi="Arial" w:cs="Arial"/>
          <w:sz w:val="24"/>
          <w:szCs w:val="24"/>
          <w:lang w:val="en-US" w:eastAsia="zh-CN"/>
        </w:rPr>
        <w:t>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”，每个方面只能选择一个等次。</w:t>
      </w:r>
    </w:p>
    <w:p>
      <w:pPr>
        <w:numPr>
          <w:ilvl w:val="0"/>
          <w:numId w:val="1"/>
        </w:numPr>
        <w:snapToGrid w:val="0"/>
        <w:spacing w:line="32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表格</w:t>
      </w:r>
      <w:r>
        <w:rPr>
          <w:rFonts w:hint="eastAsia" w:ascii="宋体" w:hAnsi="宋体" w:cs="宋体"/>
          <w:sz w:val="24"/>
          <w:szCs w:val="24"/>
          <w:lang w:eastAsia="zh-CN"/>
        </w:rPr>
        <w:t>应在专家工作后十日内后报滕州市应急管理局专家管理科室。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91027"/>
    <w:multiLevelType w:val="singleLevel"/>
    <w:tmpl w:val="0A1910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0575"/>
    <w:rsid w:val="20E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2021-12-01T07:53:00Z</dcterms:created>
  <dc:creator>yh</dc:creator>
  <cp:lastModifiedBy>yh</cp:lastModifiedBy>
  <dcterms:modified xsi:type="dcterms:W3CDTF">2021-12-01T07:53:57Z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61534CC9CA3A4064A31BA9AAA3B88040</vt:lpwstr>
  </property>
</Properties>
</file>