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滕州市南四湖湖东界郭片（滕州）</w:t>
      </w:r>
    </w:p>
    <w:p>
      <w:pPr>
        <w:adjustRightInd w:val="0"/>
        <w:snapToGrid w:val="0"/>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滞洪区运用方案</w:t>
      </w:r>
    </w:p>
    <w:p>
      <w:pPr>
        <w:adjustRightInd w:val="0"/>
        <w:snapToGrid w:val="0"/>
        <w:spacing w:line="600" w:lineRule="exact"/>
        <w:ind w:firstLine="640" w:firstLineChars="200"/>
        <w:rPr>
          <w:rFonts w:hint="eastAsia" w:ascii="黑体" w:eastAsia="黑体"/>
          <w:sz w:val="32"/>
          <w:szCs w:val="32"/>
        </w:rPr>
      </w:pPr>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一、编制依据</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《中华人民共和国防洪法》《中华人民共和国防汛条例》《蓄滞洪区运用补偿暂行办法》《山东省实施〈中华人民共和国防洪法〉办法》《山东省实施〈中华人民共和国防洪条例〉办法》等有关法律、法规。</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水利部《蓄滞洪区运用预案编制导则》（SL488—2010）《沂沭泗河洪水调度方案》（国汛[2012]8号）《山东省南四湖防洪预案》（2018年5月修订）。</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山东省南四湖湖东滞洪区建设工程可行性研究报告（修订稿）（2015年7月）</w:t>
      </w:r>
    </w:p>
    <w:p>
      <w:pPr>
        <w:adjustRightInd w:val="0"/>
        <w:snapToGrid w:val="0"/>
        <w:spacing w:line="600" w:lineRule="exact"/>
        <w:ind w:firstLine="640" w:firstLineChars="200"/>
        <w:rPr>
          <w:rFonts w:hint="eastAsia" w:ascii="黑体" w:eastAsia="黑体"/>
          <w:sz w:val="32"/>
          <w:szCs w:val="32"/>
        </w:rPr>
      </w:pPr>
      <w:bookmarkStart w:id="0" w:name="_Toc326521155"/>
      <w:r>
        <w:rPr>
          <w:rFonts w:hint="eastAsia" w:ascii="黑体" w:eastAsia="黑体"/>
          <w:sz w:val="32"/>
          <w:szCs w:val="32"/>
        </w:rPr>
        <w:t>二、滞洪区概况</w:t>
      </w:r>
      <w:bookmarkEnd w:id="0"/>
    </w:p>
    <w:p>
      <w:pPr>
        <w:adjustRightInd w:val="0"/>
        <w:snapToGrid w:val="0"/>
        <w:spacing w:line="600" w:lineRule="exact"/>
        <w:ind w:firstLine="640" w:firstLineChars="200"/>
        <w:rPr>
          <w:rFonts w:ascii="楷体_GB2312" w:eastAsia="楷体_GB2312"/>
          <w:sz w:val="32"/>
          <w:szCs w:val="32"/>
        </w:rPr>
      </w:pPr>
      <w:bookmarkStart w:id="1" w:name="_Toc326521156"/>
      <w:r>
        <w:rPr>
          <w:rFonts w:hint="eastAsia" w:ascii="楷体_GB2312" w:eastAsia="楷体_GB2312"/>
          <w:sz w:val="32"/>
          <w:szCs w:val="32"/>
        </w:rPr>
        <w:t>（一）自然地理特征</w:t>
      </w:r>
      <w:bookmarkEnd w:id="1"/>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1.滞洪区地理、高程、地形、地貌特征</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湖东界郭片滞洪区位于山东省南四湖（南阳、昭阳、独山、微山四湖的统称）湖东堤东侧，滕州西部。该区域地面东高西低，地面高程在</w:t>
      </w:r>
      <w:r>
        <w:rPr>
          <w:rFonts w:ascii="仿宋_GB2312" w:eastAsia="仿宋_GB2312"/>
          <w:sz w:val="32"/>
          <w:szCs w:val="32"/>
        </w:rPr>
        <w:t>3</w:t>
      </w: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10—</w:t>
      </w:r>
      <w:r>
        <w:rPr>
          <w:rFonts w:ascii="仿宋_GB2312" w:eastAsia="仿宋_GB2312"/>
          <w:sz w:val="32"/>
          <w:szCs w:val="32"/>
        </w:rPr>
        <w:t>3</w:t>
      </w:r>
      <w:r>
        <w:rPr>
          <w:rFonts w:hint="eastAsia" w:ascii="仿宋_GB2312" w:eastAsia="仿宋_GB2312"/>
          <w:sz w:val="32"/>
          <w:szCs w:val="32"/>
        </w:rPr>
        <w:t>6.99米（85高程基准，下同）之间，地势低平，属山前洪积平原区下部，沿湖洼地。</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2.滞洪区所在流域、水系等相关情况</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滕州市湖东界郭片滞洪区地处淮河流域南四湖水系，滞洪区内从北到南有大小河流多条，较大的入湖河道有界河、岗头河、小龙河、瓦渣沟、辛安河、徐楼河、北沙河、小荆河、城郭河。其中界河、北沙河、城郭河为山洪河道，其他河道为坡水排涝河道。这些河道多为源短流急，并分别担负着流域内排洪、排涝、引水灌溉及通航的任务。目前界河、北沙河、城郭河三条河道的下游防洪能力已基本达到20年一遇标准；岗头河、小龙河、瓦渣沟、辛安河、徐楼河、小荆河不足5年一遇标准。</w:t>
      </w:r>
    </w:p>
    <w:p>
      <w:pPr>
        <w:adjustRightInd w:val="0"/>
        <w:snapToGrid w:val="0"/>
        <w:spacing w:line="600" w:lineRule="exact"/>
        <w:ind w:firstLine="640" w:firstLineChars="200"/>
        <w:rPr>
          <w:rFonts w:ascii="楷体_GB2312" w:eastAsia="楷体_GB2312"/>
          <w:sz w:val="32"/>
          <w:szCs w:val="32"/>
        </w:rPr>
      </w:pPr>
      <w:bookmarkStart w:id="2" w:name="_Toc326521157"/>
      <w:r>
        <w:rPr>
          <w:rFonts w:hint="eastAsia" w:ascii="楷体_GB2312" w:eastAsia="楷体_GB2312"/>
          <w:sz w:val="32"/>
          <w:szCs w:val="32"/>
        </w:rPr>
        <w:t>（二）社会经济情况</w:t>
      </w:r>
      <w:bookmarkEnd w:id="2"/>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滞洪区内的城镇、村庄、人口数量及分布情况。滕州市湖东界郭片滞洪区内有西岗、级索、滨湖三个镇和滕州港，共44个自然村，人口6.5841万人，其中西岗镇7个村庄，12605人；级索镇4个村庄13706人；滨湖镇33个村庄、1个港口，39530万人。</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2.滞洪区经济情况。湖东滞洪区（界郭片）涉及滕州市3个镇44个行政村。耕地面积5.68万亩，房屋11.86万间，各类农业机械17328台。主要农作物有小麦、玉米、大豆等，作物种植面积5.26万亩，人均纯收入10500元。</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3.滞洪区重要设施。滞洪区内经济较为发达，区内主要的基础设施有：</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（1）学校：学校7所，在校师生0.25万人，校舍面积1.2万平方米。</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（2）工矿企业：主要为朝阳煤矿、北徐楼煤矿、滨湖煤矿、锦丘煤矿、王晁煤矿、滕州港等。</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（3）水利工程设施：渠道</w:t>
      </w:r>
      <w:r>
        <w:rPr>
          <w:rFonts w:ascii="仿宋_GB2312" w:eastAsia="仿宋_GB2312"/>
          <w:sz w:val="32"/>
          <w:szCs w:val="32"/>
        </w:rPr>
        <w:t>123.1</w:t>
      </w:r>
      <w:r>
        <w:rPr>
          <w:rFonts w:hint="eastAsia" w:ascii="仿宋_GB2312" w:eastAsia="仿宋_GB2312"/>
          <w:sz w:val="32"/>
          <w:szCs w:val="32"/>
        </w:rPr>
        <w:t>千米，排灌站28座，装机4735千瓦。</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（4）省道：S241东西方向穿西岗镇境内、S104南北方向穿越西岗、级索、滨湖三镇。</w:t>
      </w:r>
    </w:p>
    <w:p>
      <w:pPr>
        <w:adjustRightInd w:val="0"/>
        <w:snapToGrid w:val="0"/>
        <w:spacing w:line="600" w:lineRule="exact"/>
        <w:ind w:firstLine="640" w:firstLineChars="200"/>
        <w:rPr>
          <w:rFonts w:ascii="楷体_GB2312" w:eastAsia="楷体_GB2312"/>
          <w:sz w:val="32"/>
          <w:szCs w:val="32"/>
        </w:rPr>
      </w:pPr>
      <w:bookmarkStart w:id="3" w:name="_Toc326521158"/>
      <w:r>
        <w:rPr>
          <w:rFonts w:hint="eastAsia" w:ascii="楷体_GB2312" w:eastAsia="楷体_GB2312"/>
          <w:sz w:val="32"/>
          <w:szCs w:val="32"/>
        </w:rPr>
        <w:t>（三）滞洪特征指标</w:t>
      </w:r>
      <w:bookmarkEnd w:id="3"/>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1</w:t>
      </w:r>
      <w:r>
        <w:rPr>
          <w:rFonts w:hint="eastAsia" w:ascii="仿宋_GB2312" w:eastAsia="仿宋_GB2312"/>
          <w:sz w:val="32"/>
          <w:szCs w:val="32"/>
        </w:rPr>
        <w:t>.</w:t>
      </w:r>
      <w:r>
        <w:rPr>
          <w:rFonts w:ascii="仿宋_GB2312" w:hAnsi="Times New Roman" w:eastAsia="仿宋_GB2312"/>
          <w:sz w:val="32"/>
          <w:szCs w:val="32"/>
        </w:rPr>
        <w:t>对控制流域洪水，保证下游防洪安全起着非常重要</w:t>
      </w:r>
      <w:bookmarkStart w:id="4" w:name="baidusnap7"/>
      <w:bookmarkEnd w:id="4"/>
      <w:r>
        <w:rPr>
          <w:rFonts w:ascii="仿宋_GB2312" w:hAnsi="Times New Roman" w:eastAsia="仿宋_GB2312"/>
          <w:sz w:val="32"/>
          <w:szCs w:val="32"/>
        </w:rPr>
        <w:t>的作用。通过对滞洪区的控制运用，有效减小洪水淹没损失，控制河道下泄洪水，保证下游防洪安全。</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根据</w:t>
      </w:r>
      <w:r>
        <w:rPr>
          <w:rFonts w:hint="eastAsia" w:ascii="仿宋_GB2312" w:hAnsi="Times New Roman" w:eastAsia="仿宋_GB2312"/>
          <w:sz w:val="32"/>
          <w:szCs w:val="32"/>
          <w:lang w:eastAsia="zh-CN"/>
        </w:rPr>
        <w:t>2015年7月山东省水利勘测设计院编制的《南四湖湖东滞洪区可行性研究报告》</w:t>
      </w:r>
      <w:r>
        <w:rPr>
          <w:rFonts w:hint="eastAsia" w:ascii="仿宋_GB2312" w:hAnsi="Times New Roman" w:eastAsia="仿宋_GB2312"/>
          <w:sz w:val="32"/>
          <w:szCs w:val="32"/>
        </w:rPr>
        <w:t>的滞洪水位</w:t>
      </w:r>
      <w:r>
        <w:rPr>
          <w:rFonts w:hint="eastAsia" w:ascii="仿宋_GB2312" w:hAnsi="Times New Roman" w:eastAsia="仿宋_GB2312"/>
          <w:sz w:val="32"/>
          <w:szCs w:val="32"/>
          <w:lang w:eastAsia="zh-CN"/>
        </w:rPr>
        <w:t>36.99</w:t>
      </w:r>
      <w:r>
        <w:rPr>
          <w:rFonts w:hint="eastAsia" w:ascii="仿宋_GB2312" w:hAnsi="Times New Roman" w:eastAsia="仿宋_GB2312"/>
          <w:sz w:val="32"/>
          <w:szCs w:val="32"/>
        </w:rPr>
        <w:t>米，界郭片滞洪面积为</w:t>
      </w:r>
      <w:r>
        <w:rPr>
          <w:rFonts w:hint="eastAsia" w:ascii="仿宋_GB2312" w:hAnsi="Times New Roman" w:eastAsia="仿宋_GB2312"/>
          <w:sz w:val="32"/>
          <w:szCs w:val="32"/>
          <w:lang w:eastAsia="zh-CN"/>
        </w:rPr>
        <w:t>79.48</w:t>
      </w:r>
      <w:r>
        <w:rPr>
          <w:rFonts w:hint="eastAsia" w:ascii="仿宋_GB2312" w:hAnsi="Times New Roman" w:eastAsia="仿宋_GB2312"/>
          <w:sz w:val="32"/>
          <w:szCs w:val="32"/>
        </w:rPr>
        <w:t>平方公里，滞洪容量</w:t>
      </w:r>
      <w:r>
        <w:rPr>
          <w:rFonts w:hint="eastAsia" w:ascii="仿宋_GB2312" w:hAnsi="Times New Roman" w:eastAsia="仿宋_GB2312"/>
          <w:sz w:val="32"/>
          <w:szCs w:val="32"/>
          <w:lang w:eastAsia="zh-CN"/>
        </w:rPr>
        <w:t>1.39</w:t>
      </w:r>
      <w:r>
        <w:rPr>
          <w:rFonts w:hint="eastAsia" w:ascii="仿宋_GB2312" w:hAnsi="Times New Roman" w:eastAsia="仿宋_GB2312"/>
          <w:sz w:val="32"/>
          <w:szCs w:val="32"/>
        </w:rPr>
        <w:t>亿立方米。</w:t>
      </w:r>
    </w:p>
    <w:p>
      <w:pPr>
        <w:adjustRightInd w:val="0"/>
        <w:snapToGrid w:val="0"/>
        <w:spacing w:line="600" w:lineRule="exact"/>
        <w:ind w:firstLine="640" w:firstLineChars="200"/>
        <w:rPr>
          <w:rFonts w:ascii="楷体_GB2312" w:eastAsia="楷体_GB2312"/>
          <w:sz w:val="32"/>
          <w:szCs w:val="32"/>
        </w:rPr>
      </w:pPr>
      <w:bookmarkStart w:id="5" w:name="_Toc326521159"/>
      <w:r>
        <w:rPr>
          <w:rFonts w:hint="eastAsia" w:ascii="楷体_GB2312" w:eastAsia="楷体_GB2312"/>
          <w:sz w:val="32"/>
          <w:szCs w:val="32"/>
        </w:rPr>
        <w:t>（四）洪水风险</w:t>
      </w:r>
      <w:bookmarkEnd w:id="5"/>
    </w:p>
    <w:p>
      <w:pPr>
        <w:spacing w:line="600" w:lineRule="exact"/>
        <w:ind w:firstLine="640" w:firstLineChars="200"/>
        <w:outlineLvl w:val="0"/>
        <w:rPr>
          <w:rFonts w:ascii="仿宋_GB2312" w:eastAsia="仿宋_GB2312"/>
          <w:sz w:val="32"/>
          <w:szCs w:val="32"/>
        </w:rPr>
      </w:pPr>
      <w:bookmarkStart w:id="6" w:name="_Toc151953235"/>
      <w:bookmarkStart w:id="7" w:name="_Toc164487030"/>
      <w:bookmarkStart w:id="8" w:name="_Toc152492865"/>
      <w:bookmarkStart w:id="9" w:name="_Toc151955242"/>
      <w:bookmarkStart w:id="10" w:name="_Toc151955017"/>
      <w:bookmarkStart w:id="11" w:name="_Toc151954741"/>
      <w:bookmarkStart w:id="12" w:name="_Toc326521160"/>
      <w:r>
        <w:rPr>
          <w:rFonts w:hint="eastAsia" w:ascii="仿宋_GB2312" w:eastAsia="仿宋_GB2312"/>
          <w:sz w:val="32"/>
          <w:szCs w:val="32"/>
        </w:rPr>
        <w:t>区内村庄分布零散，滞洪时对居民安全影响大。最大淹没水深不足4米。滞洪后，一般淹没时间在1个月左右，为中等风险区。</w:t>
      </w:r>
      <w:bookmarkEnd w:id="6"/>
      <w:bookmarkEnd w:id="7"/>
      <w:bookmarkEnd w:id="8"/>
      <w:bookmarkEnd w:id="9"/>
      <w:bookmarkEnd w:id="10"/>
      <w:bookmarkEnd w:id="11"/>
      <w:r>
        <w:rPr>
          <w:rFonts w:hint="eastAsia" w:ascii="仿宋_GB2312" w:eastAsia="仿宋_GB2312"/>
          <w:sz w:val="32"/>
          <w:szCs w:val="32"/>
        </w:rPr>
        <w:t>具体见</w:t>
      </w:r>
      <w:r>
        <w:rPr>
          <w:rFonts w:hint="eastAsia" w:ascii="仿宋_GB2312" w:eastAsia="仿宋_GB2312"/>
          <w:bCs/>
          <w:sz w:val="32"/>
          <w:szCs w:val="32"/>
        </w:rPr>
        <w:t>南四湖湖东滞洪区位置示意图</w:t>
      </w:r>
      <w:r>
        <w:rPr>
          <w:rFonts w:hint="eastAsia" w:ascii="仿宋_GB2312" w:eastAsia="仿宋_GB2312"/>
          <w:sz w:val="32"/>
          <w:szCs w:val="32"/>
        </w:rPr>
        <w:t>。（附图2）</w:t>
      </w:r>
    </w:p>
    <w:p>
      <w:pPr>
        <w:adjustRightInd w:val="0"/>
        <w:snapToGrid w:val="0"/>
        <w:spacing w:line="600" w:lineRule="exact"/>
        <w:ind w:firstLine="640" w:firstLineChars="200"/>
        <w:rPr>
          <w:rFonts w:ascii="楷体_GB2312" w:eastAsia="楷体_GB2312"/>
          <w:sz w:val="32"/>
          <w:szCs w:val="32"/>
        </w:rPr>
      </w:pPr>
      <w:r>
        <w:rPr>
          <w:rFonts w:hint="eastAsia" w:ascii="楷体_GB2312" w:eastAsia="楷体_GB2312"/>
          <w:sz w:val="32"/>
          <w:szCs w:val="32"/>
        </w:rPr>
        <w:t>（五）防洪工程</w:t>
      </w:r>
      <w:bookmarkEnd w:id="12"/>
    </w:p>
    <w:p>
      <w:pPr>
        <w:adjustRightInd w:val="0"/>
        <w:snapToGrid w:val="0"/>
        <w:spacing w:line="600" w:lineRule="exact"/>
        <w:ind w:firstLine="640" w:firstLineChars="200"/>
        <w:rPr>
          <w:rFonts w:hint="eastAsia" w:ascii="仿宋_GB2312" w:eastAsia="仿宋_GB2312"/>
          <w:sz w:val="32"/>
          <w:szCs w:val="32"/>
        </w:rPr>
      </w:pPr>
      <w:bookmarkStart w:id="13" w:name="_Toc326521161"/>
      <w:r>
        <w:rPr>
          <w:rFonts w:hint="eastAsia" w:ascii="仿宋_GB2312" w:eastAsia="仿宋_GB2312"/>
          <w:sz w:val="32"/>
          <w:szCs w:val="32"/>
        </w:rPr>
        <w:t>1.南四湖湖东堤堤防（滕州段）为2级防洪堤防，滕州境内总长12960米，堤顶高程39.29米，按50年一遇防洪标准设防，堤防高度4.3—5.79米，堤顶宽度6.0米，堤防背迎水坡均采用1:3，草皮护坡。</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w:t>
      </w:r>
      <w:r>
        <w:rPr>
          <w:rFonts w:ascii="仿宋_GB2312" w:eastAsia="仿宋_GB2312"/>
          <w:sz w:val="32"/>
          <w:szCs w:val="32"/>
        </w:rPr>
        <w:t>湖东滞洪区工程进洪口门布置</w:t>
      </w:r>
      <w:r>
        <w:rPr>
          <w:rFonts w:hint="eastAsia" w:ascii="仿宋_GB2312" w:eastAsia="仿宋_GB2312"/>
          <w:sz w:val="32"/>
          <w:szCs w:val="32"/>
        </w:rPr>
        <w:t>。滕州段</w:t>
      </w:r>
      <w:r>
        <w:rPr>
          <w:rFonts w:ascii="仿宋_GB2312" w:eastAsia="仿宋_GB2312"/>
          <w:sz w:val="32"/>
          <w:szCs w:val="32"/>
        </w:rPr>
        <w:t>界河—城</w:t>
      </w:r>
      <w:r>
        <w:rPr>
          <w:rFonts w:hint="eastAsia" w:ascii="仿宋_GB2312" w:eastAsia="仿宋_GB2312"/>
          <w:sz w:val="32"/>
          <w:szCs w:val="32"/>
        </w:rPr>
        <w:t>郭</w:t>
      </w:r>
      <w:r>
        <w:rPr>
          <w:rFonts w:ascii="仿宋_GB2312" w:eastAsia="仿宋_GB2312"/>
          <w:sz w:val="32"/>
          <w:szCs w:val="32"/>
        </w:rPr>
        <w:t>河段拟结合利用该段内各支流沟口涵闸作为超标准洪水的进洪口门</w:t>
      </w:r>
      <w:r>
        <w:rPr>
          <w:rFonts w:hint="eastAsia" w:ascii="仿宋_GB2312" w:eastAsia="仿宋_GB2312"/>
          <w:sz w:val="32"/>
          <w:szCs w:val="32"/>
        </w:rPr>
        <w:t>。滕州界郭片进洪流量600</w:t>
      </w:r>
      <w:r>
        <w:rPr>
          <w:rFonts w:ascii="仿宋_GB2312" w:eastAsia="仿宋_GB2312"/>
          <w:sz w:val="32"/>
          <w:szCs w:val="32"/>
        </w:rPr>
        <w:t>m</w:t>
      </w:r>
      <w:r>
        <w:rPr>
          <w:rFonts w:ascii="仿宋_GB2312" w:eastAsia="仿宋_GB2312"/>
          <w:sz w:val="32"/>
          <w:szCs w:val="32"/>
          <w:vertAlign w:val="superscript"/>
        </w:rPr>
        <w:t>3</w:t>
      </w:r>
      <w:r>
        <w:rPr>
          <w:rFonts w:ascii="仿宋_GB2312" w:eastAsia="仿宋_GB2312"/>
          <w:sz w:val="32"/>
          <w:szCs w:val="32"/>
        </w:rPr>
        <w:t>/s</w:t>
      </w:r>
      <w:r>
        <w:rPr>
          <w:rFonts w:hint="eastAsia" w:ascii="仿宋_GB2312" w:eastAsia="仿宋_GB2312"/>
          <w:sz w:val="32"/>
          <w:szCs w:val="32"/>
        </w:rPr>
        <w:t>，退水方式为利用滞洪口门自然退水。</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3.入湖支堤回水段。界河、小龙河、北沙河、城郭河入湖河道500m以内堤顶高程39.29m，顶宽6m，内外堤坡1：3；500m以外堤顶高程38.29m，顶宽4m，内外堤坡1：3。</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4.穿堤建筑物水闸5个、泵站7个。</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（1）水闸</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838"/>
        <w:gridCol w:w="1517"/>
        <w:gridCol w:w="4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序号</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水闸名称</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过闸流量</w:t>
            </w:r>
          </w:p>
          <w:p>
            <w:pPr>
              <w:spacing w:line="0" w:lineRule="atLeast"/>
              <w:jc w:val="center"/>
              <w:rPr>
                <w:rFonts w:hint="eastAsia" w:ascii="仿宋_GB2312" w:eastAsia="仿宋_GB2312"/>
                <w:sz w:val="24"/>
              </w:rPr>
            </w:pPr>
            <w:r>
              <w:rPr>
                <w:rFonts w:hint="eastAsia" w:ascii="仿宋_GB2312" w:eastAsia="仿宋_GB2312"/>
                <w:sz w:val="24"/>
              </w:rPr>
              <w:t>（m</w:t>
            </w:r>
            <w:r>
              <w:rPr>
                <w:rFonts w:hint="eastAsia" w:ascii="仿宋_GB2312" w:eastAsia="仿宋_GB2312"/>
                <w:sz w:val="24"/>
                <w:vertAlign w:val="superscript"/>
              </w:rPr>
              <w:t>3</w:t>
            </w:r>
            <w:r>
              <w:rPr>
                <w:rFonts w:hint="eastAsia" w:ascii="仿宋_GB2312" w:eastAsia="仿宋_GB2312"/>
                <w:sz w:val="24"/>
              </w:rPr>
              <w:t>/s）</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洪水标准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1</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岗头河闸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105.1</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二十年一遇设计，五十年一遇校核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2</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西盖村河闸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82.6</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二十年一遇设计，三十年一遇校核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3</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辛安河闸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44.5</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二十年一遇设计，三十年一遇校核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4</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徐楼河闸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118.8</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二十年一遇设计，五十年一遇校核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5</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中心河闸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115.2</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二十年一遇设计，五十年一遇校核</w:t>
            </w:r>
          </w:p>
        </w:tc>
      </w:tr>
    </w:tbl>
    <w:p>
      <w:pPr>
        <w:widowControl/>
        <w:spacing w:line="600" w:lineRule="exact"/>
        <w:ind w:firstLine="480" w:firstLineChars="200"/>
        <w:jc w:val="left"/>
        <w:rPr>
          <w:rFonts w:hint="eastAsia" w:ascii="仿宋_GB2312" w:eastAsia="仿宋_GB2312"/>
          <w:sz w:val="24"/>
        </w:rPr>
      </w:pPr>
      <w:r>
        <w:rPr>
          <w:rFonts w:hint="eastAsia" w:ascii="仿宋_GB2312" w:eastAsia="仿宋_GB2312"/>
          <w:sz w:val="24"/>
        </w:rPr>
        <w:t>（2）泵站</w:t>
      </w:r>
    </w:p>
    <w:tbl>
      <w:tblPr>
        <w:tblStyle w:val="2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632"/>
        <w:gridCol w:w="1336"/>
        <w:gridCol w:w="1450"/>
        <w:gridCol w:w="1148"/>
        <w:gridCol w:w="125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序号</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泵站名称</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装机流量</w:t>
            </w:r>
          </w:p>
          <w:p>
            <w:pPr>
              <w:widowControl/>
              <w:spacing w:line="0" w:lineRule="atLeast"/>
              <w:jc w:val="center"/>
              <w:rPr>
                <w:rFonts w:hint="eastAsia" w:ascii="仿宋_GB2312" w:eastAsia="仿宋_GB2312"/>
                <w:sz w:val="24"/>
              </w:rPr>
            </w:pPr>
            <w:r>
              <w:rPr>
                <w:rFonts w:hint="eastAsia" w:ascii="仿宋_GB2312" w:eastAsia="仿宋_GB2312"/>
                <w:sz w:val="24"/>
              </w:rPr>
              <w:t>（m3/s）</w:t>
            </w:r>
          </w:p>
        </w:tc>
        <w:tc>
          <w:tcPr>
            <w:tcW w:w="1450" w:type="dxa"/>
            <w:vAlign w:val="center"/>
          </w:tcPr>
          <w:p>
            <w:pPr>
              <w:spacing w:line="0" w:lineRule="atLeast"/>
              <w:jc w:val="center"/>
              <w:rPr>
                <w:rFonts w:hint="eastAsia" w:ascii="仿宋_GB2312" w:eastAsia="仿宋_GB2312"/>
                <w:sz w:val="24"/>
              </w:rPr>
            </w:pPr>
            <w:r>
              <w:rPr>
                <w:rFonts w:hint="eastAsia" w:ascii="仿宋_GB2312" w:eastAsia="仿宋_GB2312"/>
                <w:sz w:val="24"/>
              </w:rPr>
              <w:t>装机功率(kW)</w:t>
            </w:r>
          </w:p>
        </w:tc>
        <w:tc>
          <w:tcPr>
            <w:tcW w:w="1148" w:type="dxa"/>
            <w:vAlign w:val="center"/>
          </w:tcPr>
          <w:p>
            <w:pPr>
              <w:spacing w:line="0" w:lineRule="atLeast"/>
              <w:jc w:val="center"/>
              <w:rPr>
                <w:rFonts w:hint="eastAsia" w:ascii="仿宋_GB2312" w:eastAsia="仿宋_GB2312"/>
                <w:sz w:val="24"/>
              </w:rPr>
            </w:pPr>
            <w:r>
              <w:rPr>
                <w:rFonts w:hint="eastAsia" w:ascii="仿宋_GB2312" w:eastAsia="仿宋_GB2312"/>
                <w:sz w:val="24"/>
              </w:rPr>
              <w:t>设计扬程(m)</w:t>
            </w:r>
          </w:p>
        </w:tc>
        <w:tc>
          <w:tcPr>
            <w:tcW w:w="1257" w:type="dxa"/>
            <w:vAlign w:val="center"/>
          </w:tcPr>
          <w:p>
            <w:pPr>
              <w:spacing w:line="0" w:lineRule="atLeast"/>
              <w:jc w:val="center"/>
              <w:rPr>
                <w:rFonts w:hint="eastAsia" w:ascii="仿宋_GB2312" w:eastAsia="仿宋_GB2312"/>
                <w:sz w:val="24"/>
              </w:rPr>
            </w:pPr>
            <w:r>
              <w:rPr>
                <w:rFonts w:hint="eastAsia" w:ascii="仿宋_GB2312" w:eastAsia="仿宋_GB2312"/>
                <w:sz w:val="24"/>
              </w:rPr>
              <w:t>水泵数量(台)</w:t>
            </w:r>
          </w:p>
        </w:tc>
        <w:tc>
          <w:tcPr>
            <w:tcW w:w="1618" w:type="dxa"/>
            <w:vAlign w:val="center"/>
          </w:tcPr>
          <w:p>
            <w:pPr>
              <w:spacing w:line="0" w:lineRule="atLeast"/>
              <w:jc w:val="center"/>
              <w:rPr>
                <w:rFonts w:hint="eastAsia" w:ascii="仿宋_GB2312" w:eastAsia="仿宋_GB2312"/>
                <w:sz w:val="24"/>
              </w:rPr>
            </w:pPr>
            <w:r>
              <w:rPr>
                <w:rFonts w:hint="eastAsia" w:ascii="仿宋_GB2312" w:eastAsia="仿宋_GB2312"/>
                <w:sz w:val="24"/>
              </w:rPr>
              <w:t>工程任务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农场新站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3.59</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275</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2.91</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污工新站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2.99</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225</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2.82</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32" w:type="dxa"/>
            <w:vAlign w:val="center"/>
          </w:tcPr>
          <w:p>
            <w:pPr>
              <w:widowControl/>
              <w:spacing w:line="0" w:lineRule="atLeast"/>
              <w:jc w:val="center"/>
              <w:rPr>
                <w:rFonts w:hint="eastAsia" w:ascii="仿宋_GB2312" w:eastAsia="仿宋_GB2312"/>
                <w:spacing w:val="-20"/>
                <w:sz w:val="24"/>
              </w:rPr>
            </w:pPr>
            <w:r>
              <w:rPr>
                <w:rFonts w:hint="eastAsia" w:ascii="仿宋_GB2312" w:eastAsia="仿宋_GB2312"/>
                <w:spacing w:val="-20"/>
                <w:sz w:val="24"/>
              </w:rPr>
              <w:t>西盖村新站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3.95</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315</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3.27</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4</w:t>
            </w:r>
          </w:p>
        </w:tc>
        <w:tc>
          <w:tcPr>
            <w:tcW w:w="1632" w:type="dxa"/>
            <w:vAlign w:val="center"/>
          </w:tcPr>
          <w:p>
            <w:pPr>
              <w:widowControl/>
              <w:spacing w:line="0" w:lineRule="atLeast"/>
              <w:jc w:val="center"/>
              <w:rPr>
                <w:rFonts w:hint="eastAsia" w:ascii="仿宋_GB2312" w:eastAsia="仿宋_GB2312"/>
                <w:spacing w:val="-20"/>
                <w:sz w:val="24"/>
              </w:rPr>
            </w:pPr>
            <w:r>
              <w:rPr>
                <w:rFonts w:hint="eastAsia" w:ascii="仿宋_GB2312" w:eastAsia="仿宋_GB2312"/>
                <w:spacing w:val="-20"/>
                <w:sz w:val="24"/>
              </w:rPr>
              <w:t>西焦村新站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1.25</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77</w:t>
            </w:r>
          </w:p>
        </w:tc>
        <w:tc>
          <w:tcPr>
            <w:tcW w:w="1148" w:type="dxa"/>
            <w:vAlign w:val="center"/>
          </w:tcPr>
          <w:p>
            <w:pPr>
              <w:widowControl/>
              <w:spacing w:line="0" w:lineRule="atLeast"/>
              <w:ind w:firstLine="240" w:firstLineChars="100"/>
              <w:rPr>
                <w:rFonts w:hint="eastAsia" w:ascii="仿宋_GB2312" w:eastAsia="仿宋_GB2312"/>
                <w:sz w:val="24"/>
              </w:rPr>
            </w:pPr>
            <w:r>
              <w:rPr>
                <w:rFonts w:hint="eastAsia" w:ascii="仿宋_GB2312" w:eastAsia="仿宋_GB2312"/>
                <w:sz w:val="24"/>
              </w:rPr>
              <w:t>2.4</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5</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下王庄站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4.39</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330</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2.0</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6</w:t>
            </w:r>
          </w:p>
        </w:tc>
        <w:tc>
          <w:tcPr>
            <w:tcW w:w="1632" w:type="dxa"/>
            <w:vAlign w:val="center"/>
          </w:tcPr>
          <w:p>
            <w:pPr>
              <w:widowControl/>
              <w:spacing w:line="0" w:lineRule="atLeast"/>
              <w:jc w:val="center"/>
              <w:rPr>
                <w:rFonts w:hint="eastAsia" w:ascii="仿宋_GB2312" w:eastAsia="仿宋_GB2312"/>
                <w:spacing w:val="-26"/>
                <w:sz w:val="24"/>
              </w:rPr>
            </w:pPr>
            <w:r>
              <w:rPr>
                <w:rFonts w:hint="eastAsia" w:ascii="仿宋_GB2312" w:eastAsia="仿宋_GB2312"/>
                <w:spacing w:val="-26"/>
                <w:sz w:val="24"/>
              </w:rPr>
              <w:t>渔农二场新站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1.51</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102</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2.82</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7</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中心河站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1.11</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77</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2.83</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bl>
    <w:p>
      <w:pPr>
        <w:adjustRightInd w:val="0"/>
        <w:snapToGrid w:val="0"/>
        <w:spacing w:line="600" w:lineRule="exact"/>
        <w:ind w:firstLine="640" w:firstLineChars="200"/>
        <w:rPr>
          <w:rFonts w:hint="eastAsia" w:ascii="Ђˎ̥" w:hAnsi="Ђˎ̥" w:cs="宋体"/>
          <w:kern w:val="0"/>
          <w:sz w:val="18"/>
          <w:szCs w:val="18"/>
        </w:rPr>
      </w:pPr>
      <w:r>
        <w:rPr>
          <w:rFonts w:hint="eastAsia" w:ascii="仿宋_GB2312" w:eastAsia="仿宋_GB2312"/>
          <w:sz w:val="32"/>
          <w:szCs w:val="32"/>
        </w:rPr>
        <w:t>5.</w:t>
      </w:r>
      <w:r>
        <w:rPr>
          <w:rFonts w:hint="eastAsia" w:ascii="仿宋_GB2312" w:hAnsi="Ђˎ̥" w:eastAsia="仿宋_GB2312" w:cs="宋体"/>
          <w:bCs/>
          <w:kern w:val="0"/>
          <w:sz w:val="32"/>
          <w:szCs w:val="32"/>
        </w:rPr>
        <w:t>防洪工程存在问题</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（1）小型河道堤防不足5年一遇防洪标准。</w:t>
      </w:r>
    </w:p>
    <w:p>
      <w:pPr>
        <w:adjustRightInd w:val="0"/>
        <w:snapToGrid w:val="0"/>
        <w:spacing w:line="600" w:lineRule="exact"/>
        <w:ind w:firstLine="640" w:firstLineChars="200"/>
        <w:rPr>
          <w:rFonts w:hint="eastAsia" w:ascii="Ђˎ̥" w:hAnsi="Ђˎ̥" w:cs="宋体"/>
          <w:kern w:val="0"/>
          <w:sz w:val="18"/>
          <w:szCs w:val="18"/>
        </w:rPr>
      </w:pPr>
      <w:r>
        <w:rPr>
          <w:rFonts w:hint="eastAsia" w:ascii="仿宋_GB2312" w:hAnsi="Ђˎ̥" w:eastAsia="仿宋_GB2312" w:cs="宋体"/>
          <w:bCs/>
          <w:kern w:val="0"/>
          <w:sz w:val="32"/>
          <w:szCs w:val="32"/>
        </w:rPr>
        <w:t>（2）排涝泵站滞洪后设备淹没，需先修复后使用。</w:t>
      </w:r>
    </w:p>
    <w:p>
      <w:pPr>
        <w:adjustRightInd w:val="0"/>
        <w:snapToGrid w:val="0"/>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（六）安全设施</w:t>
      </w:r>
      <w:bookmarkEnd w:id="13"/>
    </w:p>
    <w:p>
      <w:pPr>
        <w:pStyle w:val="90"/>
        <w:adjustRightInd w:val="0"/>
        <w:snapToGrid w:val="0"/>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lang w:eastAsia="zh-CN"/>
        </w:rPr>
        <w:t>1</w:t>
      </w:r>
      <w:r>
        <w:rPr>
          <w:rFonts w:hint="eastAsia" w:ascii="仿宋_GB2312" w:eastAsia="仿宋_GB2312"/>
          <w:sz w:val="32"/>
          <w:szCs w:val="32"/>
        </w:rPr>
        <w:t>.</w:t>
      </w:r>
      <w:r>
        <w:rPr>
          <w:rFonts w:hint="eastAsia" w:ascii="仿宋_GB2312" w:hAnsi="Times New Roman" w:eastAsia="仿宋_GB2312"/>
          <w:sz w:val="32"/>
          <w:szCs w:val="32"/>
        </w:rPr>
        <w:t>湖东滞洪区没有开展建设。由于湖东堤建设，为处理超标准洪水而确定的，以前不是滞洪区范围，而且所有工程都不具备滞洪安全性能，滞洪区内现有房屋、交通道路、通讯等基础设施，为平时群众生活、生产所用，远达不到滞洪要求。</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w:t>
      </w:r>
      <w:r>
        <w:rPr>
          <w:rFonts w:hint="eastAsia" w:ascii="仿宋_GB2312" w:eastAsia="仿宋_GB2312"/>
          <w:sz w:val="32"/>
          <w:szCs w:val="32"/>
        </w:rPr>
        <w:t>.</w:t>
      </w:r>
      <w:r>
        <w:rPr>
          <w:rFonts w:hint="eastAsia" w:ascii="仿宋_GB2312" w:hAnsi="Times New Roman" w:eastAsia="仿宋_GB2312"/>
          <w:sz w:val="32"/>
          <w:szCs w:val="32"/>
        </w:rPr>
        <w:t>撤退道路</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区内现有可利用的道路15</w:t>
      </w:r>
      <w:r>
        <w:rPr>
          <w:rFonts w:ascii="仿宋_GB2312" w:hAnsi="Times New Roman" w:eastAsia="仿宋_GB2312"/>
          <w:sz w:val="32"/>
          <w:szCs w:val="32"/>
        </w:rPr>
        <w:t>.</w:t>
      </w:r>
      <w:r>
        <w:rPr>
          <w:rFonts w:hint="eastAsia" w:ascii="仿宋_GB2312" w:hAnsi="Times New Roman" w:eastAsia="仿宋_GB2312"/>
          <w:sz w:val="32"/>
          <w:szCs w:val="32"/>
        </w:rPr>
        <w:t>93公里，</w:t>
      </w:r>
      <w:r>
        <w:rPr>
          <w:rFonts w:hint="eastAsia" w:ascii="仿宋_GB2312" w:hAnsi="Times New Roman" w:eastAsia="仿宋_GB2312"/>
          <w:sz w:val="32"/>
          <w:szCs w:val="32"/>
          <w:lang w:eastAsia="zh-CN"/>
        </w:rPr>
        <w:t>上世纪</w:t>
      </w:r>
      <w:r>
        <w:rPr>
          <w:rFonts w:hint="eastAsia" w:ascii="仿宋_GB2312" w:hAnsi="Times New Roman" w:eastAsia="仿宋_GB2312"/>
          <w:sz w:val="32"/>
          <w:szCs w:val="32"/>
        </w:rPr>
        <w:t>60—90年代修建，只有济微路、笃西路标准较高，其它多数为土沙路，少部分为柏油路，路面宽度</w:t>
      </w:r>
      <w:r>
        <w:rPr>
          <w:rFonts w:ascii="仿宋_GB2312" w:hAnsi="Times New Roman" w:eastAsia="仿宋_GB2312"/>
          <w:sz w:val="32"/>
          <w:szCs w:val="32"/>
        </w:rPr>
        <w:t>2.0</w:t>
      </w:r>
      <w:r>
        <w:rPr>
          <w:rFonts w:hint="eastAsia" w:ascii="仿宋_GB2312" w:hAnsi="Times New Roman" w:eastAsia="仿宋_GB2312"/>
          <w:sz w:val="32"/>
          <w:szCs w:val="32"/>
        </w:rPr>
        <w:t>—</w:t>
      </w:r>
      <w:r>
        <w:rPr>
          <w:rFonts w:ascii="仿宋_GB2312" w:hAnsi="Times New Roman" w:eastAsia="仿宋_GB2312"/>
          <w:sz w:val="32"/>
          <w:szCs w:val="32"/>
        </w:rPr>
        <w:t>10.0</w:t>
      </w:r>
      <w:r>
        <w:rPr>
          <w:rFonts w:hint="eastAsia" w:ascii="仿宋_GB2312" w:hAnsi="Times New Roman" w:eastAsia="仿宋_GB2312"/>
          <w:sz w:val="32"/>
          <w:szCs w:val="32"/>
        </w:rPr>
        <w:t>米，经多年运行，路面破损严重，路况较差。沿线现有桥涵6座，大部分由地方修建，工程标准低，且年久失修。安置点均在</w:t>
      </w:r>
      <w:r>
        <w:rPr>
          <w:rFonts w:hint="eastAsia" w:ascii="仿宋_GB2312" w:hAnsi="Times New Roman" w:eastAsia="仿宋_GB2312"/>
          <w:sz w:val="32"/>
          <w:szCs w:val="32"/>
          <w:lang w:eastAsia="zh-CN"/>
        </w:rPr>
        <w:t>36.99</w:t>
      </w:r>
      <w:r>
        <w:rPr>
          <w:rFonts w:hint="eastAsia" w:ascii="仿宋_GB2312" w:hAnsi="Times New Roman" w:eastAsia="仿宋_GB2312"/>
          <w:sz w:val="32"/>
          <w:szCs w:val="32"/>
        </w:rPr>
        <w:t>米高程线以上，安置人口等</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见附表4</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3</w:t>
      </w:r>
      <w:r>
        <w:rPr>
          <w:rFonts w:hint="eastAsia" w:ascii="仿宋_GB2312" w:eastAsia="仿宋_GB2312"/>
          <w:sz w:val="32"/>
          <w:szCs w:val="32"/>
        </w:rPr>
        <w:t>.</w:t>
      </w:r>
      <w:r>
        <w:rPr>
          <w:rFonts w:hint="eastAsia" w:ascii="仿宋_GB2312" w:hAnsi="Times New Roman" w:eastAsia="仿宋_GB2312"/>
          <w:sz w:val="32"/>
          <w:szCs w:val="32"/>
        </w:rPr>
        <w:t>通讯设施</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现有通讯</w:t>
      </w:r>
      <w:r>
        <w:rPr>
          <w:rFonts w:hint="eastAsia" w:ascii="仿宋_GB2312" w:hAnsi="Times New Roman" w:eastAsia="仿宋_GB2312"/>
          <w:spacing w:val="6"/>
          <w:sz w:val="32"/>
          <w:szCs w:val="32"/>
        </w:rPr>
        <w:t>线路</w:t>
      </w:r>
      <w:r>
        <w:rPr>
          <w:rFonts w:ascii="仿宋_GB2312" w:hAnsi="Times New Roman" w:eastAsia="仿宋_GB2312"/>
          <w:spacing w:val="6"/>
          <w:sz w:val="32"/>
          <w:szCs w:val="32"/>
        </w:rPr>
        <w:t>136.8</w:t>
      </w:r>
      <w:r>
        <w:rPr>
          <w:rFonts w:hint="eastAsia" w:ascii="仿宋_GB2312" w:hAnsi="Times New Roman" w:eastAsia="仿宋_GB2312"/>
          <w:spacing w:val="6"/>
          <w:sz w:val="32"/>
          <w:szCs w:val="32"/>
        </w:rPr>
        <w:t>千米、广播线路</w:t>
      </w:r>
      <w:r>
        <w:rPr>
          <w:rFonts w:ascii="仿宋_GB2312" w:hAnsi="Times New Roman" w:eastAsia="仿宋_GB2312"/>
          <w:spacing w:val="6"/>
          <w:sz w:val="32"/>
          <w:szCs w:val="32"/>
        </w:rPr>
        <w:t>143.6</w:t>
      </w:r>
      <w:r>
        <w:rPr>
          <w:rFonts w:hint="eastAsia" w:ascii="仿宋_GB2312" w:hAnsi="Times New Roman" w:eastAsia="仿宋_GB2312"/>
          <w:spacing w:val="6"/>
          <w:sz w:val="32"/>
          <w:szCs w:val="32"/>
        </w:rPr>
        <w:t>千米等联络方式</w:t>
      </w:r>
      <w:r>
        <w:rPr>
          <w:rFonts w:hint="eastAsia" w:ascii="仿宋_GB2312" w:hAnsi="Times New Roman" w:eastAsia="仿宋_GB2312"/>
          <w:sz w:val="32"/>
          <w:szCs w:val="32"/>
        </w:rPr>
        <w:t>。</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4</w:t>
      </w:r>
      <w:r>
        <w:rPr>
          <w:rFonts w:hint="eastAsia" w:ascii="仿宋_GB2312" w:eastAsia="仿宋_GB2312"/>
          <w:sz w:val="32"/>
          <w:szCs w:val="32"/>
        </w:rPr>
        <w:t>.</w:t>
      </w:r>
      <w:r>
        <w:rPr>
          <w:rFonts w:hint="eastAsia" w:ascii="仿宋_GB2312" w:hAnsi="Times New Roman" w:eastAsia="仿宋_GB2312"/>
          <w:sz w:val="32"/>
          <w:szCs w:val="32"/>
        </w:rPr>
        <w:t>存在的主要问题</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（1）</w:t>
      </w:r>
      <w:r>
        <w:rPr>
          <w:rFonts w:hint="eastAsia" w:ascii="仿宋_GB2312" w:hAnsi="Times New Roman" w:eastAsia="仿宋_GB2312"/>
          <w:sz w:val="32"/>
          <w:szCs w:val="32"/>
        </w:rPr>
        <w:t>滞洪区安全避洪设施尚未建设，一旦滞洪，难以保证群众迅速安全避险。</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（2）</w:t>
      </w:r>
      <w:r>
        <w:rPr>
          <w:rFonts w:hint="eastAsia" w:ascii="仿宋_GB2312" w:hAnsi="Times New Roman" w:eastAsia="仿宋_GB2312"/>
          <w:sz w:val="32"/>
          <w:szCs w:val="32"/>
        </w:rPr>
        <w:t>撤退道路少、标准低，难以满足群众安全、及时转移的需要。</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（3）</w:t>
      </w:r>
      <w:r>
        <w:rPr>
          <w:rFonts w:hint="eastAsia" w:ascii="仿宋_GB2312" w:hAnsi="Times New Roman" w:eastAsia="仿宋_GB2312"/>
          <w:sz w:val="32"/>
          <w:szCs w:val="32"/>
        </w:rPr>
        <w:t>无专门通讯预警设备。滞洪报警、调度等重要信息传播效率低下，难以落实到区内所有人员。</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（4）</w:t>
      </w:r>
      <w:r>
        <w:rPr>
          <w:rFonts w:hint="eastAsia" w:ascii="仿宋_GB2312" w:hAnsi="Times New Roman" w:eastAsia="仿宋_GB2312"/>
          <w:sz w:val="32"/>
          <w:szCs w:val="32"/>
        </w:rPr>
        <w:t>无专门的滞洪区管理机构。</w:t>
      </w:r>
    </w:p>
    <w:p>
      <w:pPr>
        <w:pStyle w:val="90"/>
        <w:adjustRightInd w:val="0"/>
        <w:snapToGrid w:val="0"/>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lang w:eastAsia="zh-CN"/>
        </w:rPr>
        <w:t>（5）</w:t>
      </w:r>
      <w:r>
        <w:rPr>
          <w:rFonts w:hint="eastAsia" w:ascii="仿宋_GB2312" w:hAnsi="Times New Roman" w:eastAsia="仿宋_GB2312"/>
          <w:sz w:val="32"/>
          <w:szCs w:val="32"/>
        </w:rPr>
        <w:t>滨湖排灌站机电设备已运行多年，大部分设备老化失修，不能适应滞洪后恢复生产排洪需要；田间排水系统不健全，现状防洪排涝能力较低。</w:t>
      </w:r>
    </w:p>
    <w:p>
      <w:pPr>
        <w:adjustRightInd w:val="0"/>
        <w:snapToGrid w:val="0"/>
        <w:spacing w:line="600" w:lineRule="exact"/>
        <w:ind w:firstLine="640" w:firstLineChars="200"/>
        <w:rPr>
          <w:rFonts w:ascii="楷体_GB2312" w:eastAsia="楷体_GB2312"/>
          <w:sz w:val="32"/>
          <w:szCs w:val="32"/>
        </w:rPr>
      </w:pPr>
      <w:bookmarkStart w:id="14" w:name="_Toc326521162"/>
      <w:r>
        <w:rPr>
          <w:rFonts w:hint="eastAsia" w:ascii="楷体_GB2312" w:eastAsia="楷体_GB2312"/>
          <w:sz w:val="32"/>
          <w:szCs w:val="32"/>
        </w:rPr>
        <w:t>（七）历史运用和补偿</w:t>
      </w:r>
      <w:bookmarkEnd w:id="14"/>
    </w:p>
    <w:p>
      <w:pPr>
        <w:pStyle w:val="90"/>
        <w:adjustRightInd w:val="0"/>
        <w:snapToGrid w:val="0"/>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到目前为止，湖东滞洪区一直没有启用。</w:t>
      </w:r>
    </w:p>
    <w:p>
      <w:pPr>
        <w:adjustRightInd w:val="0"/>
        <w:snapToGrid w:val="0"/>
        <w:spacing w:line="600" w:lineRule="exact"/>
        <w:ind w:firstLine="640" w:firstLineChars="200"/>
        <w:rPr>
          <w:rFonts w:hint="eastAsia" w:ascii="黑体" w:eastAsia="黑体"/>
          <w:sz w:val="32"/>
          <w:szCs w:val="32"/>
        </w:rPr>
      </w:pPr>
      <w:bookmarkStart w:id="15" w:name="_Toc326521163"/>
      <w:r>
        <w:rPr>
          <w:rFonts w:hint="eastAsia" w:ascii="黑体" w:eastAsia="黑体"/>
          <w:sz w:val="32"/>
          <w:szCs w:val="32"/>
        </w:rPr>
        <w:t>三、组织与保障</w:t>
      </w:r>
      <w:bookmarkEnd w:id="15"/>
    </w:p>
    <w:p>
      <w:pPr>
        <w:adjustRightInd w:val="0"/>
        <w:snapToGrid w:val="0"/>
        <w:spacing w:line="600" w:lineRule="exact"/>
        <w:ind w:firstLine="640" w:firstLineChars="200"/>
        <w:rPr>
          <w:rFonts w:ascii="楷体_GB2312" w:eastAsia="楷体_GB2312"/>
          <w:sz w:val="32"/>
          <w:szCs w:val="32"/>
        </w:rPr>
      </w:pPr>
      <w:bookmarkStart w:id="16" w:name="_Toc326521164"/>
      <w:r>
        <w:rPr>
          <w:rFonts w:hint="eastAsia" w:ascii="楷体_GB2312" w:eastAsia="楷体_GB2312"/>
          <w:sz w:val="32"/>
          <w:szCs w:val="32"/>
        </w:rPr>
        <w:t>（一）指挥机构</w:t>
      </w:r>
      <w:bookmarkEnd w:id="16"/>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根据《中华人民共和国防洪法》、国家防总《关于印发各级地方人民政府行政首长防汛工作职责的通知》（国汛[1995]6号），滞洪工作实行县、乡、村行政首长负责制，统一指挥，分级分部门负责，各有关部门实行滞洪岗位责任制。滕州市滞洪区防汛分部，由分管副市长担任指挥，有关防指成员单位负责人及西岗、级索、滨湖的主要负责同志担任副指挥。组建南四湖湖东滞洪区应急管理领导小组，下设信息发布组、</w:t>
      </w:r>
      <w:r>
        <w:rPr>
          <w:rFonts w:hint="eastAsia" w:ascii="仿宋_GB2312" w:hAnsi="Ђˎ̥" w:eastAsia="仿宋_GB2312" w:cs="宋体"/>
          <w:bCs/>
          <w:kern w:val="0"/>
          <w:sz w:val="32"/>
          <w:szCs w:val="32"/>
        </w:rPr>
        <w:t>转移安置组、</w:t>
      </w:r>
      <w:r>
        <w:rPr>
          <w:rFonts w:hint="eastAsia" w:ascii="仿宋_GB2312" w:hAnsi="宋体" w:eastAsia="仿宋_GB2312"/>
          <w:sz w:val="32"/>
          <w:szCs w:val="32"/>
        </w:rPr>
        <w:t>分洪实施组、</w:t>
      </w:r>
      <w:r>
        <w:rPr>
          <w:rFonts w:hint="eastAsia" w:ascii="仿宋_GB2312" w:hAnsi="Ђˎ̥" w:eastAsia="仿宋_GB2312" w:cs="宋体"/>
          <w:bCs/>
          <w:kern w:val="0"/>
          <w:sz w:val="32"/>
          <w:szCs w:val="32"/>
        </w:rPr>
        <w:t>抢险救生组、通信保障组、</w:t>
      </w:r>
      <w:r>
        <w:rPr>
          <w:rFonts w:hint="eastAsia" w:ascii="仿宋_GB2312" w:hAnsi="宋体" w:eastAsia="仿宋_GB2312"/>
          <w:sz w:val="32"/>
          <w:szCs w:val="32"/>
        </w:rPr>
        <w:t>物资供应组、后勤保障组七个小组，其组成和职责分工如下：</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1.信息发布组：负责滞洪区运用的预警、警报发布和宣传工作。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tabs>
          <w:tab w:val="left" w:pos="6947"/>
        </w:tabs>
        <w:adjustRightInd w:val="0"/>
        <w:snapToGrid w:val="0"/>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组长：市委宣传部常务副部长        贾福军</w:t>
      </w:r>
    </w:p>
    <w:p>
      <w:pPr>
        <w:adjustRightInd w:val="0"/>
        <w:snapToGrid w:val="0"/>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成员：市文化和旅游局局长          刘书巨</w:t>
      </w:r>
    </w:p>
    <w:p>
      <w:pPr>
        <w:tabs>
          <w:tab w:val="left" w:pos="6947"/>
        </w:tabs>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市卫生健康局局长            孟祥磊</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市气象局局长                刘  威</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市城乡水务局副局长          王延学</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市应急管理局副局长          贾长龙</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滨湖镇宣传科科长            刘  波</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级索镇宣传科科长            生茂红</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西岗镇宣传科科长            许传远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（2）职责</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宣传部为小组的牵头单位，综合负责发布警报及信息传递等工作。城乡水务局负责滞洪区防汛知识稿件整理，气象局负责气象知识的稿件整理，应急管理局负责监测预警、发布灾情信息，文化和旅游局、滨湖镇、级索镇、西岗镇负责在电视媒体上宣传及到位发放宣传单。</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①滞洪前。广播电台及时发布滞洪防汛分部的各项通知和命令，向滞洪区内群众及时传递滞洪的时间和搬迁转移的时间，电视台以字幕的形式不间断的游走滞洪前的各种信息。</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②滞洪时。广播电台及时向滞洪区内群众发布滞洪区防汛分部滞洪命令，开闸滞洪时拉响滞洪警报，电视台以字幕的形式不间断的游走滞洪的各种信息。</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③滞洪后。广播电视以各种灵活的宣传方式宣传滞洪区防汛分部的各项决策和决定，同时宣传各种防病、防疫和生产自救的信息。</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④宣传报道要求。在宣传部的统一协调下，做到一个宣传口径，每个宣传稿件都要严格把关，稿件经滞洪区防汛分部宣传组负责人签字后方可播出（或上报）。市级以上的采访，接受采访的对象必须经过滞洪区防汛分部指挥同意后方可接受采访</w:t>
      </w:r>
    </w:p>
    <w:p>
      <w:pPr>
        <w:widowControl/>
        <w:adjustRightInd w:val="0"/>
        <w:snapToGrid w:val="0"/>
        <w:spacing w:line="600" w:lineRule="exact"/>
        <w:ind w:firstLine="640" w:firstLineChars="200"/>
        <w:jc w:val="left"/>
        <w:rPr>
          <w:rFonts w:hint="eastAsia" w:ascii="Ђˎ̥" w:hAnsi="Ђˎ̥" w:cs="宋体"/>
          <w:kern w:val="0"/>
          <w:sz w:val="18"/>
          <w:szCs w:val="18"/>
        </w:rPr>
      </w:pPr>
      <w:r>
        <w:rPr>
          <w:rFonts w:hint="eastAsia" w:ascii="仿宋_GB2312" w:hAnsi="宋体" w:eastAsia="仿宋_GB2312"/>
          <w:sz w:val="32"/>
          <w:szCs w:val="32"/>
        </w:rPr>
        <w:t>2.</w:t>
      </w:r>
      <w:r>
        <w:rPr>
          <w:rFonts w:hint="eastAsia" w:ascii="仿宋_GB2312" w:hAnsi="Ђˎ̥" w:eastAsia="仿宋_GB2312" w:cs="宋体"/>
          <w:bCs/>
          <w:kern w:val="0"/>
          <w:sz w:val="32"/>
          <w:szCs w:val="32"/>
        </w:rPr>
        <w:t>转移安置组：</w:t>
      </w:r>
      <w:r>
        <w:rPr>
          <w:rFonts w:hint="eastAsia" w:ascii="仿宋_GB2312" w:hAnsi="宋体" w:eastAsia="仿宋_GB2312"/>
          <w:sz w:val="32"/>
          <w:szCs w:val="32"/>
        </w:rPr>
        <w:t>负责滞洪区内居民转移安置的组织和协调工作。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tabs>
          <w:tab w:val="left" w:pos="6947"/>
        </w:tabs>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组长：市民政局局长                朱光耀</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成员：市教育和体育局局长          刘金山</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滨湖镇镇长                  孙彦民</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西岗镇镇长                  王家鹤</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级索镇镇长                  王慎平</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民政局负责需撤离人口安置的关系协调，教育和体育局负责学校的关系协调，各辖区内转移安置适时由三个镇政府负责。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①汛前本方案所规划的撤离与安置对口镇要主动互相接洽，协调关系，互相了解对方的情况。</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②有撤离任务的镇汛前要根据本方案的撤离规划，结合自己的实际情况，做出具体撤离实施计划，为滞洪时群众顺利安全撤离打好基础。</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③有安置任务的镇认真了解撤离镇和本镇的具体情况，制订出切实可行的安置计划。要求具体落实到村与村、户与户，确保滞洪时安置工作的顺利进行，保障撤离群众的及时安置与基本生活需要。</w:t>
      </w:r>
    </w:p>
    <w:p>
      <w:pPr>
        <w:pStyle w:val="48"/>
        <w:widowControl w:val="0"/>
        <w:spacing w:before="0" w:beforeAutospacing="0" w:after="0" w:afterAutospacing="0" w:line="600" w:lineRule="exact"/>
        <w:ind w:firstLine="640" w:firstLineChars="200"/>
        <w:rPr>
          <w:rFonts w:ascii="仿宋_GB2312" w:eastAsia="仿宋_GB2312"/>
          <w:sz w:val="32"/>
          <w:szCs w:val="32"/>
        </w:rPr>
      </w:pPr>
      <w:r>
        <w:rPr>
          <w:rFonts w:hint="eastAsia" w:ascii="仿宋_GB2312" w:eastAsia="仿宋_GB2312"/>
          <w:sz w:val="32"/>
          <w:szCs w:val="32"/>
        </w:rPr>
        <w:t>④滞洪时，有撤离任务的镇负责组织指挥群众撤离，与结对镇结合，作好群众安置工作。有撤离任务学校幼儿园的学生，随家长一并撤离。如洪水滞留时间较短（一周以内），由家长负责照管学生自学；如洪水滞留时间较长（一周以上），由所在镇教委办负责通知学生到指定学校安排上课（见附表5）。</w:t>
      </w:r>
    </w:p>
    <w:p>
      <w:pPr>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3.分洪实施组：负责进退洪闸的操作或者进退洪口门的扒口、爆破等指挥、操作、协调工作。</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组长：市城乡水务局局长            李长瑞</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成员：枣庄市湖东堤管理局副局长    孙尚胜</w:t>
      </w:r>
    </w:p>
    <w:p>
      <w:pPr>
        <w:tabs>
          <w:tab w:val="left" w:pos="6946"/>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二级坝水利枢纽管理局工程师  王  敏</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市城乡水务局工程师          陈庆勤</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市城乡水务局工程师          袁河江</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①根据上级防汛指挥机关提供的水情、雨情信息，迅速做出水情预报，为滞洪准备及抢险避洪提供科学依据；</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②做好分洪闸等工程操作、进退洪口门的扒口、爆破等指挥协调工作。</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3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③</w:t>
      </w:r>
      <w:r>
        <w:rPr>
          <w:rFonts w:ascii="仿宋_GB2312" w:hAnsi="宋体" w:eastAsia="仿宋_GB2312"/>
          <w:sz w:val="32"/>
          <w:szCs w:val="32"/>
        </w:rPr>
        <w:fldChar w:fldCharType="end"/>
      </w:r>
      <w:r>
        <w:rPr>
          <w:rFonts w:hint="eastAsia" w:ascii="仿宋_GB2312" w:hAnsi="宋体" w:eastAsia="仿宋_GB2312"/>
          <w:sz w:val="32"/>
          <w:szCs w:val="32"/>
        </w:rPr>
        <w:t>分洪后，督促指导涉及的三个镇安排专人负责水位观测记录，每日定时观测、记录、汇报水位，并刻留永久标志；同时，及时观测进出滞洪区的洪水流量。</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4.抢险救生组：负责滞洪区防洪工程和安全设施的巡查、防守、抢险以及人员救生等工作。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组长：市应急管理局局长            宋  捷</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成员：滨湖镇武装部部长            赵志民</w:t>
      </w:r>
    </w:p>
    <w:p>
      <w:pPr>
        <w:tabs>
          <w:tab w:val="left" w:pos="6946"/>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级索镇武装部部长            杨  磊</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西岗镇武装部部长            杨乃杭</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滨湖镇水利站站长            刘书军</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西岗镇水利站站长            陈  涛</w:t>
      </w:r>
    </w:p>
    <w:p>
      <w:pPr>
        <w:tabs>
          <w:tab w:val="left" w:pos="6947"/>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级索镇水利站站长            韩玉泉</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由应急管理局</w:t>
      </w:r>
      <w:r>
        <w:rPr>
          <w:rFonts w:hint="eastAsia" w:ascii="仿宋_GB2312" w:hAnsi="宋体" w:eastAsia="仿宋_GB2312"/>
          <w:spacing w:val="6"/>
          <w:sz w:val="32"/>
          <w:szCs w:val="32"/>
        </w:rPr>
        <w:t>统一指挥，</w:t>
      </w:r>
      <w:r>
        <w:rPr>
          <w:rFonts w:hint="eastAsia" w:ascii="仿宋_GB2312" w:hAnsi="宋体" w:eastAsia="仿宋_GB2312"/>
          <w:sz w:val="32"/>
          <w:szCs w:val="32"/>
        </w:rPr>
        <w:t>市人武</w:t>
      </w:r>
      <w:r>
        <w:rPr>
          <w:rFonts w:hint="eastAsia" w:ascii="仿宋_GB2312" w:hAnsi="宋体" w:eastAsia="仿宋_GB2312"/>
          <w:spacing w:val="6"/>
          <w:sz w:val="32"/>
          <w:szCs w:val="32"/>
        </w:rPr>
        <w:t>部配合，镇人武部各自做好辖区内的以下工作</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①汛前组织人员进行防守抢险知识培训，明确防守任务。广泛宣传所防守工程的重要性，在思想上重视。</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②汛</w:t>
      </w:r>
      <w:r>
        <w:rPr>
          <w:rFonts w:hint="eastAsia" w:ascii="仿宋_GB2312" w:hAnsi="宋体" w:eastAsia="仿宋_GB2312"/>
          <w:spacing w:val="6"/>
          <w:sz w:val="32"/>
          <w:szCs w:val="32"/>
        </w:rPr>
        <w:t>前建立抢险队伍，举办抢险培训班，明确防守抢护内容</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③滞洪时负责被困群众的救援工作，处理突发事件，确保群众的生命财产安全。</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④请求部队支援兵力，滞洪前期帮助群众撤离，每村三个班，每班配汽车一辆、无线电台一部、救生船—只。</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⑤滞洪时，组织指挥对湖东堤及界河、北沙河、城郭河等河道回水堤的防守和抢险。</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w:t>
      </w:r>
      <w:r>
        <w:rPr>
          <w:rFonts w:hint="eastAsia" w:ascii="仿宋_GB2312" w:hAnsi="Ђˎ̥" w:eastAsia="仿宋_GB2312" w:cs="宋体"/>
          <w:bCs/>
          <w:kern w:val="0"/>
          <w:sz w:val="32"/>
          <w:szCs w:val="32"/>
        </w:rPr>
        <w:t>通信保障</w:t>
      </w:r>
      <w:r>
        <w:rPr>
          <w:rFonts w:hint="eastAsia" w:ascii="仿宋_GB2312" w:hAnsi="Ђˎ̥" w:eastAsia="仿宋_GB2312" w:cs="宋体"/>
          <w:bCs/>
          <w:spacing w:val="6"/>
          <w:kern w:val="0"/>
          <w:sz w:val="32"/>
          <w:szCs w:val="32"/>
        </w:rPr>
        <w:t>组：</w:t>
      </w:r>
      <w:r>
        <w:rPr>
          <w:rFonts w:hint="eastAsia" w:ascii="仿宋_GB2312" w:hAnsi="宋体" w:eastAsia="仿宋_GB2312"/>
          <w:spacing w:val="6"/>
          <w:sz w:val="32"/>
          <w:szCs w:val="32"/>
        </w:rPr>
        <w:t>负责保障滞洪运用的应急通信工作。工信局为牵头单位，其他单位分头做好各自设备的管理运行工作</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组长：市工业和信息化局局长        王印德</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成员：中国联通滕州分公司经理      王美珩</w:t>
      </w:r>
    </w:p>
    <w:p>
      <w:pPr>
        <w:tabs>
          <w:tab w:val="left" w:pos="6946"/>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中国移动滕州分公司经理      赵传宝</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联通公司、移动公司：汛前搞好电力、通讯设施的检修、安装、调试，组织人员进行有关业务技术培训。汛期保障防汛电话优先畅通，确保电力保障及通讯警报的发射畅通无阻。临时架设指挥部及各防守工程等各项专用通讯线路。滞洪期间有权征用任何单位或私人电话等通讯设备优先为滞洪工作服务。</w:t>
      </w:r>
    </w:p>
    <w:p>
      <w:pPr>
        <w:adjustRightInd w:val="0"/>
        <w:snapToGrid w:val="0"/>
        <w:spacing w:line="600" w:lineRule="exact"/>
        <w:ind w:firstLine="640" w:firstLineChars="200"/>
        <w:rPr>
          <w:rFonts w:hint="eastAsia" w:ascii="仿宋_GB2312" w:eastAsia="仿宋_GB2312"/>
          <w:sz w:val="28"/>
          <w:szCs w:val="32"/>
        </w:rPr>
      </w:pPr>
      <w:r>
        <w:rPr>
          <w:rFonts w:hint="eastAsia" w:ascii="仿宋_GB2312" w:hAnsi="宋体" w:eastAsia="仿宋_GB2312"/>
          <w:sz w:val="32"/>
          <w:szCs w:val="32"/>
        </w:rPr>
        <w:t>6.物资供应组：负责防汛物资的调拨和运输工作</w:t>
      </w:r>
      <w:r>
        <w:rPr>
          <w:rFonts w:hint="eastAsia" w:ascii="仿宋_GB2312" w:eastAsia="仿宋_GB2312"/>
          <w:sz w:val="32"/>
          <w:szCs w:val="32"/>
        </w:rPr>
        <w:t>。财政局为牵头单位，其他各成员按照分工做好各自工作</w:t>
      </w:r>
      <w:r>
        <w:rPr>
          <w:rFonts w:hint="eastAsia" w:ascii="仿宋_GB2312" w:eastAsia="仿宋_GB2312"/>
          <w:sz w:val="28"/>
          <w:szCs w:val="32"/>
        </w:rPr>
        <w:t>。</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（1）组成</w:t>
      </w:r>
    </w:p>
    <w:p>
      <w:pPr>
        <w:tabs>
          <w:tab w:val="left" w:pos="6947"/>
        </w:tabs>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组长：市财政局局长                孔繁华</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成员：市交通运输局局长            魏  超</w:t>
      </w:r>
    </w:p>
    <w:p>
      <w:pPr>
        <w:tabs>
          <w:tab w:val="left" w:pos="6946"/>
        </w:tabs>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市商业行业事务中心主任      周福海</w:t>
      </w:r>
    </w:p>
    <w:p>
      <w:pPr>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市供销合作总社理事会主任    周茂林</w:t>
      </w:r>
    </w:p>
    <w:p>
      <w:pPr>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市物资行业事务中心主任      郝建军</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①财政局、交通运输局：负责防汛抢险所需资金的筹征、物资、群众生活必需品的调运等工作。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商业行业事务中心、供销总社、物资行业事务中心：根据滞洪需要及各部门的职能、业务性质，分别储备一定数量的常备物资，存放地点应交通方便，距出险地点较近。滞洪期间保障群众生活物资供应，确保群众基本生活需要。进行群众号料和企业号料，凡能用于防汛抢险的工具、物料、设备等都要登记造册，以备应急之用，用后付款。企事业单位的物资增减情况要及时报告滞洪防汛分部。</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7.后勤保障组：负责转移群众生活必需品的发放、社会治安、医疗卫生等任务。公安局为牵头单位，统筹做好本组职责工作。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组长：市公安局局长                杜茂广</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成员：市卫生健康局局长            孟祥磊</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枣庄供电公司滕州供电部主任  卞俊善</w:t>
      </w:r>
    </w:p>
    <w:p>
      <w:pPr>
        <w:tabs>
          <w:tab w:val="left" w:pos="6947"/>
        </w:tabs>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滨湖镇人民政府副镇长        孙作文</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级索镇人民政府副镇长        丁成胜</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西岗镇党委副书记            刘学臣</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市应急管理局副局长          贾长龙</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市住房和城乡建设局副局长    张廷元</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滨湖镇派出所所长            王洪建</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级索镇派出所所长            张  峰</w:t>
      </w:r>
    </w:p>
    <w:p>
      <w:pPr>
        <w:tabs>
          <w:tab w:val="left" w:pos="6947"/>
        </w:tabs>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西岗镇派出所所长            赵慧琦</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①滨湖</w:t>
      </w:r>
      <w:r>
        <w:rPr>
          <w:rFonts w:hint="eastAsia" w:ascii="仿宋_GB2312" w:hAnsi="宋体" w:eastAsia="仿宋_GB2312"/>
          <w:spacing w:val="6"/>
          <w:sz w:val="32"/>
          <w:szCs w:val="32"/>
        </w:rPr>
        <w:t>镇、级索镇、西岗镇做好转移群众生活必需品的发放</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2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②</w:t>
      </w:r>
      <w:r>
        <w:rPr>
          <w:rFonts w:ascii="仿宋_GB2312" w:hAnsi="宋体" w:eastAsia="仿宋_GB2312"/>
          <w:sz w:val="32"/>
          <w:szCs w:val="32"/>
        </w:rPr>
        <w:fldChar w:fldCharType="end"/>
      </w:r>
      <w:r>
        <w:rPr>
          <w:rFonts w:hint="eastAsia" w:ascii="仿宋_GB2312" w:hAnsi="宋体" w:eastAsia="仿宋_GB2312"/>
          <w:sz w:val="32"/>
          <w:szCs w:val="32"/>
        </w:rPr>
        <w:t>公安局：负责滞洪区人畜、物资转移及安置的治安保卫，保证撤退道路、桥梁交通畅通，对过境车辆进行管制。</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3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③</w:t>
      </w:r>
      <w:r>
        <w:rPr>
          <w:rFonts w:ascii="仿宋_GB2312" w:hAnsi="宋体" w:eastAsia="仿宋_GB2312"/>
          <w:sz w:val="32"/>
          <w:szCs w:val="32"/>
        </w:rPr>
        <w:fldChar w:fldCharType="end"/>
      </w:r>
      <w:r>
        <w:rPr>
          <w:rFonts w:hint="eastAsia" w:ascii="仿宋_GB2312" w:hAnsi="宋体" w:eastAsia="仿宋_GB2312"/>
          <w:sz w:val="32"/>
          <w:szCs w:val="32"/>
        </w:rPr>
        <w:t>供电部门抓好安置区供电线路及设备安全、维修，做好电力调度安排，保证撤退转移中的用电及有关工程用电，做好滞洪区滞洪后电源的分区断电。</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4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④</w:t>
      </w:r>
      <w:r>
        <w:rPr>
          <w:rFonts w:ascii="仿宋_GB2312" w:hAnsi="宋体" w:eastAsia="仿宋_GB2312"/>
          <w:sz w:val="32"/>
          <w:szCs w:val="32"/>
        </w:rPr>
        <w:fldChar w:fldCharType="end"/>
      </w:r>
      <w:r>
        <w:rPr>
          <w:rFonts w:hint="eastAsia" w:ascii="仿宋_GB2312" w:hAnsi="宋体" w:eastAsia="仿宋_GB2312"/>
          <w:sz w:val="32"/>
          <w:szCs w:val="32"/>
        </w:rPr>
        <w:t>卫生健康局：负责滞洪安置区医疗点的设置和药品供应，落实医护人员，抓好饮用水卫生工作和灾后疫病的防治。</w:t>
      </w:r>
    </w:p>
    <w:p>
      <w:pPr>
        <w:adjustRightInd w:val="0"/>
        <w:snapToGrid w:val="0"/>
        <w:spacing w:line="600" w:lineRule="exact"/>
        <w:ind w:firstLine="640" w:firstLineChars="200"/>
        <w:rPr>
          <w:rFonts w:hint="eastAsia"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5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⑤</w:t>
      </w:r>
      <w:r>
        <w:rPr>
          <w:rFonts w:ascii="仿宋_GB2312" w:hAnsi="宋体" w:eastAsia="仿宋_GB2312"/>
          <w:sz w:val="32"/>
          <w:szCs w:val="32"/>
        </w:rPr>
        <w:fldChar w:fldCharType="end"/>
      </w:r>
      <w:r>
        <w:rPr>
          <w:rFonts w:hint="eastAsia" w:ascii="仿宋_GB2312" w:hAnsi="宋体" w:eastAsia="仿宋_GB2312"/>
          <w:sz w:val="32"/>
          <w:szCs w:val="32"/>
        </w:rPr>
        <w:t>应急管理局、民政局、农业农村局：负责募集并及时下拨救灾款物，做好灾情统计，灾后帮助灾民搞好生产自救。</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⑥住建、交通等防指成员单位按照各自职能做好退水后的善后工作。</w:t>
      </w:r>
    </w:p>
    <w:p>
      <w:pPr>
        <w:adjustRightInd w:val="0"/>
        <w:snapToGrid w:val="0"/>
        <w:spacing w:line="600" w:lineRule="exact"/>
        <w:ind w:firstLine="640" w:firstLineChars="200"/>
        <w:rPr>
          <w:rFonts w:ascii="楷体_GB2312" w:eastAsia="楷体_GB2312"/>
          <w:sz w:val="32"/>
          <w:szCs w:val="32"/>
        </w:rPr>
      </w:pPr>
      <w:bookmarkStart w:id="17" w:name="_Toc326521165"/>
      <w:r>
        <w:rPr>
          <w:rFonts w:hint="eastAsia" w:ascii="楷体_GB2312" w:eastAsia="楷体_GB2312"/>
          <w:sz w:val="32"/>
          <w:szCs w:val="32"/>
        </w:rPr>
        <w:t>（二）抢险救生与物资保障</w:t>
      </w:r>
      <w:bookmarkEnd w:id="17"/>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1.抢险救生队伍的组成结构。滕州市滞洪区防汛抢险救生队伍主要由应急管理部门专业救援队伍、民兵预备役、武警、水利专家等人员组成。</w:t>
      </w:r>
    </w:p>
    <w:p>
      <w:pPr>
        <w:adjustRightInd w:val="0"/>
        <w:snapToGrid w:val="0"/>
        <w:spacing w:line="600" w:lineRule="exact"/>
        <w:ind w:firstLine="640" w:firstLineChars="200"/>
        <w:jc w:val="left"/>
        <w:rPr>
          <w:rFonts w:ascii="仿宋_GB2312" w:eastAsia="仿宋_GB2312"/>
          <w:sz w:val="32"/>
          <w:szCs w:val="32"/>
        </w:rPr>
      </w:pPr>
      <w:r>
        <w:rPr>
          <w:rFonts w:hint="eastAsia" w:ascii="仿宋_GB2312" w:hAnsi="宋体" w:eastAsia="仿宋_GB2312"/>
          <w:sz w:val="32"/>
          <w:szCs w:val="32"/>
        </w:rPr>
        <w:t>（1）</w:t>
      </w:r>
      <w:r>
        <w:rPr>
          <w:rFonts w:hint="eastAsia" w:ascii="仿宋_GB2312" w:eastAsia="仿宋_GB2312"/>
          <w:sz w:val="32"/>
          <w:szCs w:val="32"/>
        </w:rPr>
        <w:t>专业技术队伍</w:t>
      </w:r>
    </w:p>
    <w:p>
      <w:pPr>
        <w:tabs>
          <w:tab w:val="left" w:pos="6947"/>
        </w:tabs>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市城乡水务局工程师                徐  瑶</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滨湖镇水利站站长                  刘书军</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西岗镇水利站站长                  陈  涛</w:t>
      </w:r>
    </w:p>
    <w:p>
      <w:pPr>
        <w:adjustRightInd w:val="0"/>
        <w:snapToGrid w:val="0"/>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级索镇水利站站长                  韩玉泉</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对堤防，道路、桥梁认真检查，排查险情隐患，分析堤防工程的抗洪能力，密切注视汛情，加强检查观测，为防汛滞洪抢险提供技术支持。</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（2）群防队伍</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主要负责工程的巡查、防守、抢险、清障、运料、迁移安置及洪水后的水毁工程修缮等任务。分为常备队、抢险队、后备队。</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常备队由沿湖东堤有抢险经验的精兵强将组成，负责洪水到来之后的巡堤查险，发现险情后的临时抢护和险情报告。由3个镇人民政府指挥，其中滨湖镇100人，级索镇50人，西岗镇50人。</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应急管理部门负责组建专业抢险队伍。沿湖三镇组建民兵预备役为主的抢险队400人，抢险队组织要健全，汛前登记造册。其中滨湖镇200人，级索镇100人，西岗镇100人。</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后备队500人，是抢险救灾的后备力量，当防御较大洪水或紧急抢险时，为加强一线防守力量而组建的。其中滨湖镇200人，级索镇150人，西岗镇150人。由3个镇人民政府组建和指挥。</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（3）抢险救灾队伍的调用抢险方案</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抢险救灾队伍的调用视水位情况而定，当洪水达到警戒水位时常备队全部上堤，昼夜不停地进行巡堤检查；发现险情及时上报滞洪区分部，抢险队上堤处理隐患；当接到上级命令启用滞洪区滞洪时，抢险救生队伍全部上阵，按滞洪运用准备各就各位、各司其责执行指挥部下达的一切指令。</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2.防汛物资准备</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（1）防汛物资的储备</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防汛物资的储备是贯彻国家、集体和群众三者结合的原则，按照防御大洪水的要求进行，滕州市滞洪区储备的各种防汛物料主要有木桩、铅丝、编织袋、石料、土工布（排体）、防浪布等，由三镇在汛前组织群众和企事业号料储备，按单位按户登记造册，并落实地点、数量和车辆、路线。</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（2）防汛物资的调度</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防汛物资的调用主要由滞洪区防汛分部根据险情的发展下达调用命令，企、事业单位号料的物资调度按指令组织运输调用，做到取之有物，用之有数，用后补偿。</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（3）防汛物资的运输</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防汛物料由</w:t>
      </w:r>
      <w:r>
        <w:rPr>
          <w:rFonts w:hint="eastAsia" w:ascii="仿宋_GB2312" w:hAnsi="宋体" w:eastAsia="仿宋_GB2312"/>
          <w:sz w:val="32"/>
          <w:szCs w:val="32"/>
        </w:rPr>
        <w:t>物资供应组</w:t>
      </w:r>
      <w:r>
        <w:rPr>
          <w:rFonts w:hint="eastAsia" w:ascii="仿宋_GB2312" w:eastAsia="仿宋_GB2312"/>
          <w:sz w:val="32"/>
          <w:szCs w:val="32"/>
        </w:rPr>
        <w:t>，利用现有公路干线，乡间道路和堤防及时运送抢险物资。</w:t>
      </w:r>
    </w:p>
    <w:p>
      <w:pPr>
        <w:adjustRightInd w:val="0"/>
        <w:snapToGrid w:val="0"/>
        <w:spacing w:line="600" w:lineRule="exact"/>
        <w:ind w:firstLine="640" w:firstLineChars="200"/>
        <w:rPr>
          <w:rFonts w:ascii="楷体_GB2312" w:eastAsia="楷体_GB2312"/>
          <w:sz w:val="32"/>
          <w:szCs w:val="32"/>
        </w:rPr>
      </w:pPr>
      <w:bookmarkStart w:id="18" w:name="_Toc326521166"/>
      <w:r>
        <w:rPr>
          <w:rFonts w:hint="eastAsia" w:ascii="楷体_GB2312" w:eastAsia="楷体_GB2312"/>
          <w:sz w:val="32"/>
          <w:szCs w:val="32"/>
        </w:rPr>
        <w:t>（三）生活保障</w:t>
      </w:r>
      <w:bookmarkEnd w:id="18"/>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物资供应组</w:t>
      </w:r>
      <w:r>
        <w:rPr>
          <w:rFonts w:hint="eastAsia" w:ascii="仿宋_GB2312" w:eastAsia="仿宋_GB2312"/>
          <w:sz w:val="32"/>
          <w:szCs w:val="32"/>
        </w:rPr>
        <w:t>保障灾民生活用品的</w:t>
      </w:r>
      <w:r>
        <w:rPr>
          <w:rFonts w:hint="eastAsia" w:ascii="仿宋_GB2312" w:hAnsi="宋体" w:eastAsia="仿宋_GB2312"/>
          <w:sz w:val="32"/>
          <w:szCs w:val="32"/>
        </w:rPr>
        <w:t>征集运输，</w:t>
      </w:r>
      <w:r>
        <w:rPr>
          <w:rFonts w:hint="eastAsia" w:ascii="仿宋_GB2312" w:eastAsia="仿宋_GB2312"/>
          <w:sz w:val="32"/>
          <w:szCs w:val="32"/>
        </w:rPr>
        <w:t>滨湖镇、级索镇、西岗镇负责发放，行政负责人为直接责任人。</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2.滞洪区运用时居民基本生活定额计算如下：</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eastAsia="仿宋_GB2312"/>
          <w:sz w:val="32"/>
          <w:szCs w:val="32"/>
        </w:rPr>
        <w:t>移民和灾民制定基本生活保障发放标准：</w:t>
      </w:r>
      <w:r>
        <w:rPr>
          <w:rFonts w:hint="eastAsia" w:ascii="仿宋_GB2312" w:hAnsi="宋体" w:eastAsia="仿宋_GB2312"/>
          <w:sz w:val="32"/>
          <w:szCs w:val="32"/>
        </w:rPr>
        <w:t>①吃：保证每人每天30元的生活费。②住：每4至5人一个约15平方米的帐篷的标准，抢搭救灾棚，保证群众有安身之所。③医：确保每人每月有20元钱的医疗支出并对移民灾民区搞好卫生防疫，防止灾后出现人畜瘟疫流行。④穿：按特困灾民备案人数做好准备，保证灾民有衣穿，能安睡。</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据测算，就地搭棚安置人员，滕州市滞洪区需备干粮125.4万斤(按10天计算)。滞洪时人员临时转移安置所需260方木材、25万根木桩、30万根毛竹、66万条芦席、104万平方米油毡、55万米塑料布、1.4万顶帐蓬、109吨铁丝、109万只草包等物资，要早作准备，落实货源，拟定应急调度方案，并确定物资保障负责人和联系人，撤退指令下达后，应立即运往安置地点。</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（2）滞洪后临时搭棚灾民凡不能自己用炊的，每天每人安排干粮1公斤，相应配备卫生饮用水。</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（3）滞洪后，滞洪区6.5841万灾民按每人每月安排22.5公</w:t>
      </w:r>
      <w:r>
        <w:rPr>
          <w:rFonts w:hint="eastAsia" w:ascii="仿宋_GB2312" w:eastAsia="仿宋_GB2312"/>
          <w:spacing w:val="6"/>
          <w:sz w:val="32"/>
          <w:szCs w:val="32"/>
        </w:rPr>
        <w:t>斤粮食以及必要的食油、蔬菜、肉食。由物资供应组调运落实</w:t>
      </w:r>
      <w:r>
        <w:rPr>
          <w:rFonts w:hint="eastAsia" w:ascii="仿宋_GB2312" w:eastAsia="仿宋_GB2312"/>
          <w:sz w:val="32"/>
          <w:szCs w:val="32"/>
        </w:rPr>
        <w:t>。</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（4）保证灾民饮用水卫生，调配一定数量的漂白粉、明矾，随同粮食发放到点。</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（5）滨湖镇、级索镇、西岗镇应做好安置人员生活</w:t>
      </w:r>
      <w:r>
        <w:rPr>
          <w:rFonts w:hint="eastAsia" w:ascii="仿宋_GB2312" w:eastAsia="仿宋_GB2312"/>
          <w:sz w:val="32"/>
          <w:szCs w:val="32"/>
          <w:lang w:val="en-US" w:eastAsia="zh-CN"/>
        </w:rPr>
        <w:t>必需品</w:t>
      </w:r>
      <w:bookmarkStart w:id="48" w:name="_GoBack"/>
      <w:bookmarkEnd w:id="48"/>
      <w:r>
        <w:rPr>
          <w:rFonts w:hint="eastAsia" w:ascii="仿宋_GB2312" w:eastAsia="仿宋_GB2312"/>
          <w:sz w:val="32"/>
          <w:szCs w:val="32"/>
        </w:rPr>
        <w:t>，如矿泉水、毛巾、肥皂、火柴、食盐、明矾、漂白粉、马灯、手电筒等生活必需品的供应发放工作，滞洪前对多种经营产品要积极组织收购，减少群众的损失。</w:t>
      </w:r>
    </w:p>
    <w:p>
      <w:pPr>
        <w:adjustRightInd w:val="0"/>
        <w:snapToGrid w:val="0"/>
        <w:spacing w:line="600" w:lineRule="exact"/>
        <w:ind w:firstLine="640" w:firstLineChars="200"/>
        <w:rPr>
          <w:rFonts w:ascii="楷体_GB2312" w:eastAsia="楷体_GB2312"/>
          <w:sz w:val="32"/>
          <w:szCs w:val="32"/>
        </w:rPr>
      </w:pPr>
      <w:bookmarkStart w:id="19" w:name="_Toc326521167"/>
      <w:r>
        <w:rPr>
          <w:rFonts w:hint="eastAsia" w:ascii="楷体_GB2312" w:eastAsia="楷体_GB2312"/>
          <w:sz w:val="32"/>
          <w:szCs w:val="32"/>
        </w:rPr>
        <w:t>（四）治安与交通保障</w:t>
      </w:r>
      <w:bookmarkEnd w:id="19"/>
    </w:p>
    <w:p>
      <w:pPr>
        <w:shd w:val="solid" w:color="FFFFFF" w:fill="auto"/>
        <w:tabs>
          <w:tab w:val="left" w:pos="0"/>
        </w:tabs>
        <w:autoSpaceDN w:val="0"/>
        <w:adjustRightInd w:val="0"/>
        <w:snapToGrid w:val="0"/>
        <w:spacing w:line="600" w:lineRule="exact"/>
        <w:ind w:firstLine="640" w:firstLineChars="200"/>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1</w:t>
      </w:r>
      <w:r>
        <w:rPr>
          <w:rFonts w:hint="eastAsia" w:ascii="仿宋_GB2312" w:eastAsia="仿宋_GB2312"/>
          <w:sz w:val="32"/>
          <w:szCs w:val="32"/>
        </w:rPr>
        <w:t>.</w:t>
      </w:r>
      <w:r>
        <w:rPr>
          <w:rFonts w:hint="eastAsia" w:ascii="仿宋_GB2312" w:hAnsi="仿宋_GB2312" w:eastAsia="仿宋_GB2312"/>
          <w:sz w:val="32"/>
          <w:shd w:val="clear" w:color="auto" w:fill="FFFFFF"/>
        </w:rPr>
        <w:t>市公安局是治安交通保障的责任单位，3个镇的派出所是治安与交通保障的中坚力量。市公安局长及3个镇的派出所长是责任人。</w:t>
      </w:r>
    </w:p>
    <w:p>
      <w:pPr>
        <w:shd w:val="solid" w:color="FFFFFF" w:fill="auto"/>
        <w:tabs>
          <w:tab w:val="left" w:pos="0"/>
        </w:tabs>
        <w:autoSpaceDN w:val="0"/>
        <w:adjustRightInd w:val="0"/>
        <w:snapToGrid w:val="0"/>
        <w:spacing w:line="600" w:lineRule="exact"/>
        <w:ind w:firstLine="640" w:firstLineChars="200"/>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2</w:t>
      </w:r>
      <w:r>
        <w:rPr>
          <w:rFonts w:hint="eastAsia" w:ascii="仿宋_GB2312" w:eastAsia="仿宋_GB2312"/>
          <w:sz w:val="32"/>
          <w:szCs w:val="32"/>
        </w:rPr>
        <w:t>.</w:t>
      </w:r>
      <w:r>
        <w:rPr>
          <w:rFonts w:hint="eastAsia" w:ascii="仿宋_GB2312" w:hAnsi="仿宋_GB2312" w:eastAsia="仿宋_GB2312"/>
          <w:sz w:val="32"/>
          <w:shd w:val="clear" w:color="auto" w:fill="FFFFFF"/>
        </w:rPr>
        <w:t>滞洪区运用时治安与交通保障：</w:t>
      </w:r>
    </w:p>
    <w:p>
      <w:pPr>
        <w:shd w:val="solid" w:color="FFFFFF" w:fill="auto"/>
        <w:tabs>
          <w:tab w:val="left" w:pos="0"/>
        </w:tabs>
        <w:autoSpaceDN w:val="0"/>
        <w:adjustRightInd w:val="0"/>
        <w:snapToGrid w:val="0"/>
        <w:spacing w:line="600" w:lineRule="exact"/>
        <w:ind w:firstLine="640" w:firstLineChars="200"/>
        <w:rPr>
          <w:rFonts w:ascii="仿宋_GB2312" w:hAnsi="仿宋_GB2312" w:eastAsia="仿宋_GB2312"/>
          <w:sz w:val="32"/>
          <w:shd w:val="clear" w:color="auto" w:fill="FFFFFF"/>
        </w:rPr>
      </w:pPr>
      <w:r>
        <w:rPr>
          <w:rFonts w:hint="eastAsia" w:ascii="仿宋_GB2312" w:hAnsi="仿宋_GB2312" w:eastAsia="仿宋_GB2312"/>
          <w:sz w:val="32"/>
          <w:shd w:val="clear" w:color="auto" w:fill="FFFFFF"/>
        </w:rPr>
        <w:t>（1）</w:t>
      </w:r>
      <w:r>
        <w:rPr>
          <w:rFonts w:ascii="仿宋_GB2312" w:hAnsi="仿宋_GB2312" w:eastAsia="仿宋_GB2312"/>
          <w:sz w:val="32"/>
          <w:shd w:val="clear" w:color="auto" w:fill="FFFFFF"/>
        </w:rPr>
        <w:t>公安、治安联防人员到达各自岗位，维持社会治安和安全保卫。实行公安和基干民兵治安联防。以村为单位，每村30人，同时配备巡逻值勤武装保卫人员。</w:t>
      </w:r>
    </w:p>
    <w:p>
      <w:pPr>
        <w:shd w:val="solid" w:color="FFFFFF" w:fill="auto"/>
        <w:tabs>
          <w:tab w:val="left" w:pos="0"/>
        </w:tabs>
        <w:autoSpaceDN w:val="0"/>
        <w:adjustRightInd w:val="0"/>
        <w:snapToGrid w:val="0"/>
        <w:spacing w:line="600" w:lineRule="exact"/>
        <w:ind w:firstLine="640" w:firstLineChars="200"/>
        <w:rPr>
          <w:rFonts w:ascii="仿宋_GB2312" w:hAnsi="仿宋_GB2312" w:eastAsia="仿宋_GB2312"/>
          <w:sz w:val="32"/>
          <w:shd w:val="clear" w:color="auto" w:fill="FFFFFF"/>
        </w:rPr>
      </w:pPr>
      <w:r>
        <w:rPr>
          <w:rFonts w:hint="eastAsia" w:ascii="仿宋_GB2312" w:hAnsi="仿宋_GB2312" w:eastAsia="仿宋_GB2312"/>
          <w:sz w:val="32"/>
          <w:shd w:val="clear" w:color="auto" w:fill="FFFFFF"/>
        </w:rPr>
        <w:t>（2）</w:t>
      </w:r>
      <w:r>
        <w:rPr>
          <w:rFonts w:ascii="仿宋_GB2312" w:hAnsi="仿宋_GB2312" w:eastAsia="仿宋_GB2312"/>
          <w:sz w:val="32"/>
          <w:shd w:val="clear" w:color="auto" w:fill="FFFFFF"/>
        </w:rPr>
        <w:t>滞洪区内</w:t>
      </w:r>
      <w:r>
        <w:rPr>
          <w:rFonts w:hint="eastAsia" w:ascii="仿宋_GB2312" w:hAnsi="仿宋_GB2312" w:eastAsia="仿宋_GB2312"/>
          <w:sz w:val="32"/>
          <w:shd w:val="clear" w:color="auto" w:fill="FFFFFF"/>
        </w:rPr>
        <w:t>的</w:t>
      </w:r>
      <w:r>
        <w:rPr>
          <w:rFonts w:ascii="仿宋_GB2312" w:hAnsi="仿宋_GB2312" w:eastAsia="仿宋_GB2312"/>
          <w:sz w:val="32"/>
          <w:shd w:val="clear" w:color="auto" w:fill="FFFFFF"/>
        </w:rPr>
        <w:t>撤退</w:t>
      </w:r>
      <w:r>
        <w:rPr>
          <w:rFonts w:hint="eastAsia" w:ascii="仿宋_GB2312" w:hAnsi="仿宋_GB2312" w:eastAsia="仿宋_GB2312"/>
          <w:sz w:val="32"/>
          <w:shd w:val="clear" w:color="auto" w:fill="FFFFFF"/>
        </w:rPr>
        <w:t>交通</w:t>
      </w:r>
      <w:r>
        <w:rPr>
          <w:rFonts w:ascii="仿宋_GB2312" w:hAnsi="仿宋_GB2312" w:eastAsia="仿宋_GB2312"/>
          <w:sz w:val="32"/>
          <w:shd w:val="clear" w:color="auto" w:fill="FFFFFF"/>
        </w:rPr>
        <w:t>干线</w:t>
      </w:r>
      <w:r>
        <w:rPr>
          <w:rFonts w:hint="eastAsia" w:ascii="仿宋_GB2312" w:hAnsi="仿宋_GB2312" w:eastAsia="仿宋_GB2312"/>
          <w:sz w:val="32"/>
          <w:shd w:val="clear" w:color="auto" w:fill="FFFFFF"/>
        </w:rPr>
        <w:t>，涉及3个镇的</w:t>
      </w:r>
      <w:r>
        <w:rPr>
          <w:rFonts w:ascii="仿宋_GB2312" w:hAnsi="仿宋_GB2312" w:eastAsia="仿宋_GB2312"/>
          <w:sz w:val="32"/>
          <w:shd w:val="clear" w:color="auto" w:fill="FFFFFF"/>
        </w:rPr>
        <w:t>公路以及重要的涵闸、桥梁的交通警力要布置到位并开展工作，维护交通秩序，实行交通管制，确保道路畅通。</w:t>
      </w:r>
    </w:p>
    <w:p>
      <w:pPr>
        <w:shd w:val="solid" w:color="FFFFFF" w:fill="auto"/>
        <w:tabs>
          <w:tab w:val="left" w:pos="0"/>
        </w:tabs>
        <w:autoSpaceDN w:val="0"/>
        <w:adjustRightInd w:val="0"/>
        <w:snapToGrid w:val="0"/>
        <w:spacing w:line="600" w:lineRule="exact"/>
        <w:ind w:firstLine="640" w:firstLineChars="200"/>
        <w:rPr>
          <w:rFonts w:ascii="仿宋_GB2312" w:hAnsi="仿宋_GB2312" w:eastAsia="仿宋_GB2312"/>
          <w:sz w:val="32"/>
          <w:shd w:val="clear" w:color="auto" w:fill="FFFFFF"/>
        </w:rPr>
      </w:pPr>
      <w:r>
        <w:rPr>
          <w:rFonts w:hint="eastAsia" w:ascii="仿宋_GB2312" w:hAnsi="仿宋_GB2312" w:eastAsia="仿宋_GB2312"/>
          <w:sz w:val="32"/>
          <w:shd w:val="clear" w:color="auto" w:fill="FFFFFF"/>
        </w:rPr>
        <w:t>（3）</w:t>
      </w:r>
      <w:r>
        <w:rPr>
          <w:rFonts w:ascii="仿宋_GB2312" w:hAnsi="仿宋_GB2312" w:eastAsia="仿宋_GB2312"/>
          <w:sz w:val="32"/>
          <w:shd w:val="clear" w:color="auto" w:fill="FFFFFF"/>
        </w:rPr>
        <w:t>报请上级批准调配部队做好重点工程设施防守、救援及保卫工作。维持好进洪闸及炸堤段安全秩序，确保工程措施的实施。由军分区负责落实。</w:t>
      </w:r>
    </w:p>
    <w:p>
      <w:pPr>
        <w:adjustRightInd w:val="0"/>
        <w:snapToGrid w:val="0"/>
        <w:spacing w:line="600" w:lineRule="exact"/>
        <w:ind w:firstLine="640" w:firstLineChars="200"/>
        <w:rPr>
          <w:rFonts w:ascii="楷体_GB2312" w:eastAsia="楷体_GB2312"/>
          <w:sz w:val="32"/>
          <w:szCs w:val="32"/>
        </w:rPr>
      </w:pPr>
      <w:bookmarkStart w:id="20" w:name="_Toc326521168"/>
      <w:r>
        <w:rPr>
          <w:rFonts w:hint="eastAsia" w:ascii="楷体_GB2312" w:eastAsia="楷体_GB2312"/>
          <w:sz w:val="32"/>
          <w:szCs w:val="32"/>
        </w:rPr>
        <w:t>（五）医疗保障</w:t>
      </w:r>
      <w:bookmarkEnd w:id="20"/>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w:t>
      </w:r>
      <w:r>
        <w:rPr>
          <w:rFonts w:hint="eastAsia" w:ascii="仿宋_GB2312" w:eastAsia="仿宋_GB2312"/>
          <w:sz w:val="32"/>
          <w:szCs w:val="32"/>
        </w:rPr>
        <w:t>.</w:t>
      </w:r>
      <w:r>
        <w:rPr>
          <w:rFonts w:hint="eastAsia" w:ascii="仿宋_GB2312" w:hAnsi="宋体" w:eastAsia="仿宋_GB2312"/>
          <w:sz w:val="32"/>
          <w:szCs w:val="32"/>
        </w:rPr>
        <w:t>市卫生健康局是各安置点的医疗保障责任单位，市卫生健康局局长是直接责任人，市农业农村局、市卫生防疫站协助做好滞洪区的医疗卫生防疫工作。</w:t>
      </w:r>
    </w:p>
    <w:p>
      <w:pPr>
        <w:shd w:val="solid" w:color="FFFFFF" w:fill="auto"/>
        <w:tabs>
          <w:tab w:val="left" w:pos="0"/>
        </w:tabs>
        <w:autoSpaceDN w:val="0"/>
        <w:adjustRightInd w:val="0"/>
        <w:snapToGrid w:val="0"/>
        <w:spacing w:line="600" w:lineRule="exact"/>
        <w:ind w:firstLine="640" w:firstLineChars="200"/>
        <w:rPr>
          <w:rFonts w:ascii="Verdana"/>
          <w:shd w:val="clear" w:color="auto" w:fill="FFFFFF"/>
        </w:rPr>
      </w:pPr>
      <w:r>
        <w:rPr>
          <w:rFonts w:hint="eastAsia" w:ascii="仿宋_GB2312" w:hAnsi="仿宋_GB2312" w:eastAsia="仿宋_GB2312"/>
          <w:sz w:val="32"/>
          <w:shd w:val="clear" w:color="auto" w:fill="FFFFFF"/>
        </w:rPr>
        <w:t>2</w:t>
      </w:r>
      <w:r>
        <w:rPr>
          <w:rFonts w:hint="eastAsia" w:ascii="仿宋_GB2312" w:eastAsia="仿宋_GB2312"/>
          <w:sz w:val="32"/>
          <w:szCs w:val="32"/>
        </w:rPr>
        <w:t>.</w:t>
      </w:r>
      <w:r>
        <w:rPr>
          <w:rFonts w:ascii="仿宋_GB2312" w:hAnsi="仿宋_GB2312" w:eastAsia="仿宋_GB2312"/>
          <w:sz w:val="32"/>
          <w:shd w:val="clear" w:color="auto" w:fill="FFFFFF"/>
        </w:rPr>
        <w:t>滞洪准备命令发布后，</w:t>
      </w:r>
      <w:r>
        <w:rPr>
          <w:rFonts w:hint="eastAsia" w:ascii="仿宋_GB2312" w:hAnsi="仿宋_GB2312" w:eastAsia="仿宋_GB2312"/>
          <w:sz w:val="32"/>
          <w:shd w:val="clear" w:color="auto" w:fill="FFFFFF"/>
        </w:rPr>
        <w:t>3个镇在人流比较集中的路口设立接待站，负责迁移群众的卫生防疫等工作。</w:t>
      </w:r>
      <w:r>
        <w:rPr>
          <w:rFonts w:ascii="仿宋_GB2312" w:hAnsi="仿宋_GB2312" w:eastAsia="仿宋_GB2312"/>
          <w:sz w:val="32"/>
          <w:shd w:val="clear" w:color="auto" w:fill="FFFFFF"/>
        </w:rPr>
        <w:t>市</w:t>
      </w:r>
      <w:r>
        <w:rPr>
          <w:rFonts w:hint="eastAsia" w:ascii="仿宋_GB2312" w:hAnsi="仿宋_GB2312" w:eastAsia="仿宋_GB2312"/>
          <w:sz w:val="32"/>
          <w:shd w:val="clear" w:color="auto" w:fill="FFFFFF"/>
        </w:rPr>
        <w:t>卫生健康局</w:t>
      </w:r>
      <w:r>
        <w:rPr>
          <w:rFonts w:ascii="仿宋_GB2312" w:hAnsi="仿宋_GB2312" w:eastAsia="仿宋_GB2312"/>
          <w:sz w:val="32"/>
          <w:shd w:val="clear" w:color="auto" w:fill="FFFFFF"/>
        </w:rPr>
        <w:t>组织医疗队并带领医疗卫生人员赶赴现场，做好防疫治病工作。在搭棚地点按每1000人设立一个医疗点，每点配备医护人员5人，配备相应医疗设备及药品。针对滞洪后常见的流行病，组织医务防疫人员到滞洪区采取防预措施。</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（1）汛前备足医药用品。</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（2）组成多支医疗队，按镇或区域分片负责。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（3）滞洪期间因天气、水质、生活环境的影响，人畜极易发生流行疾病，各医疗机构应密切注意，及时检查、监测灾区的饮用水源、食品等。</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（4）以防为主、防治结合，指导、规范群众的生活习惯，确保群众身体健康。</w:t>
      </w:r>
    </w:p>
    <w:p>
      <w:pPr>
        <w:adjustRightInd w:val="0"/>
        <w:snapToGrid w:val="0"/>
        <w:spacing w:line="600" w:lineRule="exact"/>
        <w:ind w:firstLine="640" w:firstLineChars="200"/>
        <w:outlineLvl w:val="1"/>
        <w:rPr>
          <w:rFonts w:hint="eastAsia" w:ascii="楷体_GB2312" w:eastAsia="楷体_GB2312"/>
          <w:sz w:val="32"/>
          <w:szCs w:val="32"/>
        </w:rPr>
      </w:pPr>
      <w:bookmarkStart w:id="21" w:name="_Toc326521169"/>
      <w:r>
        <w:rPr>
          <w:rFonts w:hint="eastAsia" w:ascii="楷体_GB2312" w:eastAsia="楷体_GB2312"/>
          <w:sz w:val="32"/>
          <w:szCs w:val="32"/>
        </w:rPr>
        <w:t>（六）宣传保障</w:t>
      </w:r>
      <w:bookmarkEnd w:id="21"/>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hAnsi="Ђˎ̥" w:eastAsia="仿宋_GB2312" w:cs="宋体"/>
          <w:bCs/>
          <w:kern w:val="0"/>
          <w:sz w:val="32"/>
          <w:szCs w:val="32"/>
        </w:rPr>
        <w:t>滕州市宣传部、文化和旅游局及滞洪区内的3个镇的宣传部门是滞洪区知识、方案的主要宣传单位，涉及单位主要负责人为主要责任人。</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宣传通讯部门负责制定具体的宣传计划，并利用广播、电视、报纸、巡逻车、手机短信等多种方式，做好宣传工作，使滞洪区群众充分了解蓄洪淹没情况、分洪报警手段、撤退路线、转移安置方案、生活保障措施等，明白滞洪区在抗洪中的作用和地位，树立识大体、顾大局的精神，保障滞洪区任务的顺利完成。</w:t>
      </w:r>
      <w:bookmarkStart w:id="22" w:name="_Toc326521170"/>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四、预警与警报</w:t>
      </w:r>
      <w:bookmarkEnd w:id="22"/>
    </w:p>
    <w:p>
      <w:pPr>
        <w:adjustRightInd w:val="0"/>
        <w:snapToGrid w:val="0"/>
        <w:spacing w:line="600" w:lineRule="exact"/>
        <w:ind w:firstLine="640" w:firstLineChars="200"/>
        <w:rPr>
          <w:rFonts w:hint="eastAsia" w:ascii="楷体_GB2312" w:hAnsi="Ђˎ̥" w:eastAsia="楷体_GB2312" w:cs="宋体"/>
          <w:bCs/>
          <w:kern w:val="0"/>
          <w:sz w:val="32"/>
          <w:szCs w:val="32"/>
        </w:rPr>
      </w:pPr>
      <w:bookmarkStart w:id="23" w:name="_Toc326521171"/>
      <w:bookmarkStart w:id="24" w:name="_Toc326521175"/>
      <w:r>
        <w:rPr>
          <w:rFonts w:hint="eastAsia" w:ascii="楷体_GB2312" w:hAnsi="Ђˎ̥" w:eastAsia="楷体_GB2312" w:cs="宋体"/>
          <w:bCs/>
          <w:kern w:val="0"/>
          <w:sz w:val="32"/>
          <w:szCs w:val="32"/>
        </w:rPr>
        <w:t>（一）滞洪区启用条件与方式</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南四湖湖东滞洪区界郭片（滕州）的启用由</w:t>
      </w:r>
      <w:r>
        <w:rPr>
          <w:rFonts w:ascii="仿宋_GB2312" w:hAnsi="Ђˎ̥" w:eastAsia="仿宋_GB2312" w:cs="宋体"/>
          <w:bCs/>
          <w:kern w:val="0"/>
          <w:sz w:val="32"/>
          <w:szCs w:val="32"/>
        </w:rPr>
        <w:t>淮河防总商山东省人民政府</w:t>
      </w:r>
      <w:r>
        <w:rPr>
          <w:rFonts w:hint="eastAsia" w:ascii="仿宋_GB2312" w:hAnsi="Ђˎ̥" w:eastAsia="仿宋_GB2312" w:cs="宋体"/>
          <w:bCs/>
          <w:kern w:val="0"/>
          <w:sz w:val="32"/>
          <w:szCs w:val="32"/>
        </w:rPr>
        <w:t>防汛抗旱总指挥部决定</w:t>
      </w:r>
      <w:r>
        <w:rPr>
          <w:rFonts w:ascii="仿宋_GB2312" w:hAnsi="Ђˎ̥" w:eastAsia="仿宋_GB2312" w:cs="宋体"/>
          <w:bCs/>
          <w:kern w:val="0"/>
          <w:sz w:val="32"/>
          <w:szCs w:val="32"/>
        </w:rPr>
        <w:t>，</w:t>
      </w:r>
      <w:r>
        <w:rPr>
          <w:rFonts w:hint="eastAsia" w:ascii="仿宋_GB2312" w:hAnsi="Ђˎ̥" w:eastAsia="仿宋_GB2312" w:cs="宋体"/>
          <w:bCs/>
          <w:kern w:val="0"/>
          <w:sz w:val="32"/>
          <w:szCs w:val="32"/>
        </w:rPr>
        <w:t>滕州市滞洪区防汛分部根据上级防汛指挥机构调度指令及时发布相应的预警与警报。</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由信息发布组负责南四湖湖东滞洪区界郭片（滕州）方案运用的预警、警报发布的落实工作。</w:t>
      </w:r>
    </w:p>
    <w:p>
      <w:pPr>
        <w:adjustRightInd w:val="0"/>
        <w:snapToGrid w:val="0"/>
        <w:spacing w:line="600" w:lineRule="exact"/>
        <w:ind w:firstLine="640" w:firstLineChars="200"/>
        <w:rPr>
          <w:rFonts w:hint="eastAsia" w:ascii="楷体_GB2312" w:hAnsi="Ђˎ̥" w:eastAsia="楷体_GB2312" w:cs="宋体"/>
          <w:bCs/>
          <w:kern w:val="0"/>
          <w:sz w:val="32"/>
          <w:szCs w:val="32"/>
        </w:rPr>
      </w:pPr>
      <w:r>
        <w:rPr>
          <w:rFonts w:hint="eastAsia" w:ascii="楷体_GB2312" w:hAnsi="Ђˎ̥" w:eastAsia="楷体_GB2312" w:cs="宋体"/>
          <w:bCs/>
          <w:kern w:val="0"/>
          <w:sz w:val="32"/>
          <w:szCs w:val="32"/>
        </w:rPr>
        <w:t>（二）报警信号分级</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根据南四湖湖东滞洪区界郭片（滕州）滞洪区启用的不同阶段，警报分为黄色预警、橙色预警和红色警报三级，分别代表滞洪区运用准备、转移清场、滞洪三个阶段。</w:t>
      </w:r>
    </w:p>
    <w:p>
      <w:pPr>
        <w:adjustRightInd w:val="0"/>
        <w:snapToGrid w:val="0"/>
        <w:spacing w:line="600" w:lineRule="exact"/>
        <w:ind w:firstLine="640" w:firstLineChars="200"/>
        <w:rPr>
          <w:rFonts w:hint="eastAsia" w:ascii="楷体_GB2312" w:hAnsi="Ђˎ̥" w:eastAsia="楷体_GB2312" w:cs="宋体"/>
          <w:bCs/>
          <w:kern w:val="0"/>
          <w:sz w:val="32"/>
          <w:szCs w:val="32"/>
        </w:rPr>
      </w:pPr>
      <w:r>
        <w:rPr>
          <w:rFonts w:hint="eastAsia" w:ascii="楷体_GB2312" w:hAnsi="Ђˎ̥" w:eastAsia="楷体_GB2312" w:cs="宋体"/>
          <w:bCs/>
          <w:kern w:val="0"/>
          <w:sz w:val="32"/>
          <w:szCs w:val="32"/>
        </w:rPr>
        <w:t>（三）预警预报发布方式</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南四湖湖东滞洪区界郭片（滕州）方案的预警、警报的发布由滕州市滞洪区防汛分部根据上级防汛指挥机构调度指令及时发布。充</w:t>
      </w:r>
      <w:r>
        <w:rPr>
          <w:rFonts w:hint="eastAsia" w:ascii="仿宋_GB2312" w:hAnsi="Ђˎ̥" w:eastAsia="仿宋_GB2312" w:cs="宋体"/>
          <w:bCs/>
          <w:spacing w:val="-6"/>
          <w:kern w:val="0"/>
          <w:sz w:val="32"/>
          <w:szCs w:val="32"/>
        </w:rPr>
        <w:t>分利用广播、电视、滞洪区内村庄扩音器材等发布预警、警报等</w:t>
      </w:r>
      <w:r>
        <w:rPr>
          <w:rFonts w:hint="eastAsia" w:ascii="仿宋_GB2312" w:hAnsi="Ђˎ̥" w:eastAsia="仿宋_GB2312" w:cs="宋体"/>
          <w:bCs/>
          <w:kern w:val="0"/>
          <w:sz w:val="32"/>
          <w:szCs w:val="32"/>
        </w:rPr>
        <w:t>。</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南四湖湖东滞洪区界郭片（滕州）滞洪区运用方案根据不同级别警报信息的具体发布时机按以下规定执行：</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1</w:t>
      </w:r>
      <w:r>
        <w:rPr>
          <w:rFonts w:hint="eastAsia" w:ascii="仿宋_GB2312" w:eastAsia="仿宋_GB2312"/>
          <w:sz w:val="32"/>
          <w:szCs w:val="32"/>
        </w:rPr>
        <w:t>.</w:t>
      </w:r>
      <w:r>
        <w:rPr>
          <w:rFonts w:hint="eastAsia" w:ascii="仿宋_GB2312" w:hAnsi="Ђˎ̥" w:eastAsia="仿宋_GB2312" w:cs="宋体"/>
          <w:bCs/>
          <w:kern w:val="0"/>
          <w:sz w:val="32"/>
          <w:szCs w:val="32"/>
        </w:rPr>
        <w:t>黄色预警</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黄色预警为运用准备阶段。当南四湖上级湖南阳站达到34.79米，且预报湖水水位继续上涨，启动黄色预警，首先转移滞洪区内老弱病残孕人员，同时滞洪区防汛分部各成员单位做好运用准备工作。</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2</w:t>
      </w:r>
      <w:r>
        <w:rPr>
          <w:rFonts w:hint="eastAsia" w:ascii="仿宋_GB2312" w:eastAsia="仿宋_GB2312"/>
          <w:sz w:val="32"/>
          <w:szCs w:val="32"/>
        </w:rPr>
        <w:t>.</w:t>
      </w:r>
      <w:r>
        <w:rPr>
          <w:rFonts w:hint="eastAsia" w:ascii="仿宋_GB2312" w:hAnsi="Ђˎ̥" w:eastAsia="仿宋_GB2312" w:cs="宋体"/>
          <w:bCs/>
          <w:kern w:val="0"/>
          <w:sz w:val="32"/>
          <w:szCs w:val="32"/>
        </w:rPr>
        <w:t>橙色预警</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橙色预警为转移清场阶段。当预报南四湖上级湖南阳站将达到或超过50年一遇洪水位（36.79米）时，启动橙色预警，转移滞洪区内所有人员，并进行清场工作。</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3</w:t>
      </w:r>
      <w:r>
        <w:rPr>
          <w:rFonts w:hint="eastAsia" w:ascii="仿宋_GB2312" w:eastAsia="仿宋_GB2312"/>
          <w:sz w:val="32"/>
          <w:szCs w:val="32"/>
        </w:rPr>
        <w:t>.</w:t>
      </w:r>
      <w:r>
        <w:rPr>
          <w:rFonts w:hint="eastAsia" w:ascii="仿宋_GB2312" w:hAnsi="Ђˎ̥" w:eastAsia="仿宋_GB2312" w:cs="宋体"/>
          <w:bCs/>
          <w:kern w:val="0"/>
          <w:sz w:val="32"/>
          <w:szCs w:val="32"/>
        </w:rPr>
        <w:t>红色警报</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红色警报为滞洪运用阶段。当南四湖上级湖南阳站达到或超过50年一遇洪水位（36.79米），启动红色警报。由分洪口门工程运行管理单位开始实施分洪。</w:t>
      </w:r>
    </w:p>
    <w:bookmarkEnd w:id="23"/>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4</w:t>
      </w:r>
      <w:r>
        <w:rPr>
          <w:rFonts w:hint="eastAsia" w:ascii="仿宋_GB2312" w:eastAsia="仿宋_GB2312"/>
          <w:sz w:val="32"/>
          <w:szCs w:val="32"/>
        </w:rPr>
        <w:t>.</w:t>
      </w:r>
      <w:r>
        <w:rPr>
          <w:rFonts w:hint="eastAsia" w:ascii="仿宋_GB2312" w:hAnsi="Ђˎ̥" w:eastAsia="仿宋_GB2312" w:cs="宋体"/>
          <w:bCs/>
          <w:kern w:val="0"/>
          <w:sz w:val="32"/>
          <w:szCs w:val="32"/>
        </w:rPr>
        <w:t>警报解除</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滞洪结束，当洪水基本排除具备返迁条件后，根据上级防汛机构调度指令，由滕州市人民政府防汛抗旱指挥部滞洪区防汛分部发布结束滞洪区方案的运用，红色警报解除。</w:t>
      </w:r>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五、转移与安置</w:t>
      </w:r>
      <w:bookmarkEnd w:id="24"/>
    </w:p>
    <w:p>
      <w:pPr>
        <w:adjustRightInd w:val="0"/>
        <w:snapToGrid w:val="0"/>
        <w:spacing w:line="600" w:lineRule="exact"/>
        <w:ind w:firstLine="640" w:firstLineChars="200"/>
        <w:rPr>
          <w:rFonts w:hint="eastAsia" w:ascii="楷体_GB2312" w:eastAsia="楷体_GB2312"/>
          <w:sz w:val="32"/>
          <w:szCs w:val="32"/>
        </w:rPr>
      </w:pPr>
      <w:bookmarkStart w:id="25" w:name="_Toc326521176"/>
      <w:r>
        <w:rPr>
          <w:rFonts w:hint="eastAsia" w:ascii="楷体_GB2312" w:eastAsia="楷体_GB2312"/>
          <w:sz w:val="32"/>
          <w:szCs w:val="32"/>
        </w:rPr>
        <w:t>（一）安全避洪任务</w:t>
      </w:r>
      <w:bookmarkEnd w:id="25"/>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安全避洪任务采取分级分部门负责的办法进行，坚持以人为主、兼顾财产的原则，外迁时只能将贵重物品、生活必需品随行迁出，其</w:t>
      </w:r>
      <w:r>
        <w:rPr>
          <w:rFonts w:hint="eastAsia" w:ascii="仿宋_GB2312" w:eastAsia="仿宋_GB2312"/>
          <w:spacing w:val="6"/>
          <w:sz w:val="32"/>
          <w:szCs w:val="32"/>
        </w:rPr>
        <w:t>余物品应尽量就近转移到村台上存放，转移与安置需做到尽快、尽早，在接到转移与安置任务后12小时内完成</w:t>
      </w:r>
      <w:r>
        <w:rPr>
          <w:rFonts w:hint="eastAsia" w:ascii="仿宋_GB2312" w:eastAsia="仿宋_GB2312"/>
          <w:sz w:val="32"/>
          <w:szCs w:val="32"/>
        </w:rPr>
        <w:t>。</w:t>
      </w:r>
    </w:p>
    <w:p>
      <w:pPr>
        <w:adjustRightInd w:val="0"/>
        <w:snapToGrid w:val="0"/>
        <w:spacing w:line="600" w:lineRule="exact"/>
        <w:ind w:firstLine="640" w:firstLineChars="200"/>
        <w:rPr>
          <w:rFonts w:hint="eastAsia" w:ascii="楷体_GB2312" w:eastAsia="楷体_GB2312"/>
          <w:sz w:val="32"/>
          <w:szCs w:val="32"/>
        </w:rPr>
      </w:pPr>
      <w:bookmarkStart w:id="26" w:name="_Toc326521177"/>
      <w:r>
        <w:rPr>
          <w:rFonts w:hint="eastAsia" w:ascii="楷体_GB2312" w:eastAsia="楷体_GB2312"/>
          <w:sz w:val="32"/>
          <w:szCs w:val="32"/>
        </w:rPr>
        <w:t>（二）就地安置</w:t>
      </w:r>
      <w:bookmarkEnd w:id="26"/>
    </w:p>
    <w:p>
      <w:pPr>
        <w:adjustRightInd w:val="0"/>
        <w:snapToGrid w:val="0"/>
        <w:spacing w:line="600" w:lineRule="exact"/>
        <w:ind w:firstLine="640" w:firstLineChars="200"/>
        <w:rPr>
          <w:rFonts w:hint="eastAsia" w:ascii="仿宋_GB2312" w:eastAsia="仿宋_GB2312"/>
          <w:sz w:val="32"/>
          <w:szCs w:val="32"/>
        </w:rPr>
      </w:pPr>
      <w:bookmarkStart w:id="27" w:name="_Toc326521178"/>
      <w:r>
        <w:rPr>
          <w:rFonts w:hint="eastAsia" w:ascii="仿宋_GB2312" w:eastAsia="仿宋_GB2312"/>
          <w:sz w:val="32"/>
          <w:szCs w:val="32"/>
        </w:rPr>
        <w:t>由于滞洪区内无庄台、避洪台、避洪楼、保庄圩等就地避险设施，滞洪安全设施基础很差，因此在目前的工程情况下，暂不考虑就地安置。</w:t>
      </w:r>
    </w:p>
    <w:p>
      <w:pPr>
        <w:adjustRightInd w:val="0"/>
        <w:snapToGrid w:val="0"/>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（三）转移安置</w:t>
      </w:r>
      <w:bookmarkEnd w:id="27"/>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1.转移安置组职责</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（1）负责协调有撤离或安置任务的镇相互接洽，了解情况。</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（2）做到撤离与安置对口的镇、村、户、取得联系，向群众宣传撤离路线，安置村庄，做出具体撤离实施计划。</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（3）具体落实到村与村、户与户、村与户的安置，及时解决遇到的问题，保障撤离群众的基本生活需要。</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（4）滞洪时，有撤离任务的镇，党政主要负责同志负总责，做好群众安置工作。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2.需要转移的镇、村庄、人口、路线、负责人（见附表4、附图3）。</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3.转移安置措施</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（1）地面最大淹没水深不足0.5m的村不撤离，由本村抢修围堰加强保护。</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（2）区内工业、企业、商店有其主管部门安置，以撤人为主，兼顾设备库存贵重原料、产品、商品等的外运存放。</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（3）高于滞洪水位的村台、平顶房、堤防、树木等均是紧急避险场所，来不及撤离的人员可暂时避洪，然后再利用船只转移到安全地带。</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（4）撤离、安置要服从统一指挥，按指定的撤退路线到指定的村庄安置，不得随意投亲靠友。</w:t>
      </w:r>
    </w:p>
    <w:p>
      <w:pPr>
        <w:adjustRightInd w:val="0"/>
        <w:snapToGrid w:val="0"/>
        <w:spacing w:line="600" w:lineRule="exact"/>
        <w:ind w:firstLine="640" w:firstLineChars="200"/>
        <w:rPr>
          <w:rFonts w:hint="eastAsia" w:ascii="黑体" w:eastAsia="黑体"/>
          <w:sz w:val="32"/>
          <w:szCs w:val="32"/>
        </w:rPr>
      </w:pPr>
      <w:bookmarkStart w:id="28" w:name="_Toc326521179"/>
      <w:r>
        <w:rPr>
          <w:rFonts w:hint="eastAsia" w:ascii="黑体" w:eastAsia="黑体"/>
          <w:sz w:val="32"/>
          <w:szCs w:val="32"/>
        </w:rPr>
        <w:t>六、工程调度与运用</w:t>
      </w:r>
      <w:bookmarkEnd w:id="28"/>
    </w:p>
    <w:p>
      <w:pPr>
        <w:adjustRightInd w:val="0"/>
        <w:snapToGrid w:val="0"/>
        <w:spacing w:line="600" w:lineRule="exact"/>
        <w:ind w:firstLine="640" w:firstLineChars="200"/>
        <w:rPr>
          <w:rFonts w:hint="eastAsia" w:ascii="楷体_GB2312" w:eastAsia="楷体_GB2312"/>
          <w:sz w:val="32"/>
          <w:szCs w:val="32"/>
        </w:rPr>
      </w:pPr>
      <w:bookmarkStart w:id="29" w:name="_Toc326521180"/>
      <w:r>
        <w:rPr>
          <w:rFonts w:hint="eastAsia" w:ascii="楷体_GB2312" w:eastAsia="楷体_GB2312"/>
          <w:sz w:val="32"/>
          <w:szCs w:val="32"/>
        </w:rPr>
        <w:t>（一）调度方案</w:t>
      </w:r>
      <w:bookmarkEnd w:id="29"/>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依据《沂沭泗河洪水调度方案》（国汛[2012]8号）、《山东省南四湖防洪预案》（鲁汛旱总字[2013]14号），南四湖湖东滞洪区（界郭片）的分洪运用由淮河防总商山东省防汛抗旱总指挥部启动，枣庄市人民政府防汛抗旱指挥部执行，地方政府组织群众撤离。</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2.启用条件</w:t>
      </w:r>
    </w:p>
    <w:p>
      <w:pPr>
        <w:adjustRightInd w:val="0"/>
        <w:snapToGrid w:val="0"/>
        <w:spacing w:line="600" w:lineRule="exact"/>
        <w:ind w:firstLine="640" w:firstLineChars="200"/>
        <w:rPr>
          <w:rFonts w:ascii="仿宋_GB2312" w:eastAsia="仿宋_GB2312"/>
          <w:sz w:val="32"/>
          <w:szCs w:val="32"/>
          <w:lang w:val="zh-CN"/>
        </w:rPr>
      </w:pPr>
      <w:r>
        <w:rPr>
          <w:rFonts w:hint="eastAsia" w:ascii="仿宋_GB2312" w:eastAsia="仿宋_GB2312"/>
          <w:sz w:val="32"/>
          <w:szCs w:val="32"/>
          <w:lang w:val="zh-CN"/>
        </w:rPr>
        <w:t>启用标准为超50年一遇洪水，当南四湖上级湖水位达到36.79m，依次启用泗河至青山段、界河至城郭河段两个滞洪区，有计划地分洪，做到“分得进，守得住，排得出，群众保安全”，保证南四湖防洪安全。</w:t>
      </w:r>
    </w:p>
    <w:p>
      <w:pPr>
        <w:adjustRightInd w:val="0"/>
        <w:snapToGrid w:val="0"/>
        <w:spacing w:line="600" w:lineRule="exact"/>
        <w:ind w:firstLine="640" w:firstLineChars="200"/>
        <w:rPr>
          <w:rFonts w:hint="eastAsia" w:ascii="楷体_GB2312" w:eastAsia="楷体_GB2312"/>
          <w:sz w:val="32"/>
          <w:szCs w:val="32"/>
        </w:rPr>
      </w:pPr>
      <w:bookmarkStart w:id="30" w:name="_Toc326521181"/>
      <w:r>
        <w:rPr>
          <w:rFonts w:hint="eastAsia" w:ascii="楷体_GB2312" w:eastAsia="楷体_GB2312"/>
          <w:sz w:val="32"/>
          <w:szCs w:val="32"/>
        </w:rPr>
        <w:t>（二）工程运用</w:t>
      </w:r>
      <w:bookmarkEnd w:id="30"/>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1.滕州市滞洪区进退洪运用由枣庄市南四湖湖东堤建设管理局负责实施。</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2.进、退洪方式</w:t>
      </w:r>
    </w:p>
    <w:p>
      <w:pPr>
        <w:pStyle w:val="87"/>
        <w:autoSpaceDE w:val="0"/>
        <w:autoSpaceDN w:val="0"/>
        <w:adjustRightInd w:val="0"/>
        <w:snapToGrid w:val="0"/>
        <w:spacing w:line="600" w:lineRule="exact"/>
        <w:ind w:firstLine="640" w:firstLineChars="200"/>
        <w:rPr>
          <w:rFonts w:ascii="仿宋_GB2312" w:eastAsia="仿宋_GB2312"/>
          <w:sz w:val="32"/>
        </w:rPr>
      </w:pPr>
      <w:r>
        <w:rPr>
          <w:rFonts w:ascii="仿宋_GB2312" w:hAnsi="仿宋_GB2312" w:eastAsia="仿宋_GB2312"/>
          <w:sz w:val="32"/>
          <w:lang w:val="zh-CN"/>
        </w:rPr>
        <w:t>（1）进</w:t>
      </w:r>
      <w:r>
        <w:rPr>
          <w:rFonts w:ascii="仿宋_GB2312" w:eastAsia="仿宋_GB2312"/>
          <w:sz w:val="32"/>
          <w:lang w:val="zh-CN"/>
        </w:rPr>
        <w:t>洪方式。湖东滞洪区采用开闸进洪方式，当上级湖水位达到36.79时，按照上级下达的分滞洪命令，首先开启白马河左右岸涵闸向泗河至青山段分洪，然后开启滕州市滞洪区内的</w:t>
      </w:r>
      <w:r>
        <w:rPr>
          <w:rFonts w:ascii="仿宋_GB2312" w:eastAsia="仿宋_GB2312"/>
          <w:sz w:val="32"/>
        </w:rPr>
        <w:t>岗头河、新安河、中心河、徐楼河、小荆河左右岸涵闸向界河至城郭河段分洪。</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（2）退洪方式。湖东滞洪区退水方式为利用滞洪口门自然退水，伴随着南四湖洪峰减弱，滞洪区洪水随之消退，对于不能自然排出的部分涝洼地段，根据实际情况组织人员进行抽排。</w:t>
      </w:r>
    </w:p>
    <w:p>
      <w:pPr>
        <w:adjustRightInd w:val="0"/>
        <w:snapToGrid w:val="0"/>
        <w:spacing w:line="600" w:lineRule="exact"/>
        <w:ind w:firstLine="640" w:firstLineChars="200"/>
        <w:rPr>
          <w:rFonts w:hint="eastAsia" w:ascii="楷体_GB2312" w:eastAsia="楷体_GB2312"/>
          <w:sz w:val="32"/>
          <w:szCs w:val="32"/>
        </w:rPr>
      </w:pPr>
      <w:bookmarkStart w:id="31" w:name="_Toc326521182"/>
      <w:r>
        <w:rPr>
          <w:rFonts w:hint="eastAsia" w:ascii="楷体_GB2312" w:eastAsia="楷体_GB2312"/>
          <w:sz w:val="32"/>
          <w:szCs w:val="32"/>
        </w:rPr>
        <w:t>（三）工程防守与应急抢险</w:t>
      </w:r>
      <w:bookmarkEnd w:id="31"/>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rPr>
        <w:t>1</w:t>
      </w:r>
      <w:r>
        <w:rPr>
          <w:rFonts w:ascii="仿宋_GB2312" w:eastAsia="仿宋_GB2312"/>
          <w:sz w:val="32"/>
          <w:szCs w:val="32"/>
        </w:rPr>
        <w:t>.</w:t>
      </w:r>
      <w:r>
        <w:rPr>
          <w:rFonts w:ascii="仿宋_GB2312" w:eastAsia="仿宋_GB2312"/>
          <w:sz w:val="32"/>
          <w:lang w:val="zh-CN"/>
        </w:rPr>
        <w:t>工程抢险</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上级湖水位达到警戒水位时，常备队上堤巡岗。洪水上涨预计达到滞洪水位时，堤防很可能出现漏水、脱坡、管涌、坍塌等严重险情。穿堤建筑物可能出现滑动，脱坡、管涌、坍塌、漏水、堤顶塌陷等险情，抢险队员全部上堤巡岗，回水段堤防不足五十年一遇的小河道抢筑子埝，满足五十年一遇的标准高度军民联防加强防守。针对不同险情，采取措施，保证防洪安全，应做到：</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（1）滞洪区防汛分部领导要做好检查工作，坚守第一线，全力指挥防守和抢护，及时准确地通报水情、工情、险情。</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（2）基层领导要在大堤上安营扎寨，负责本辖区的防汛抗洪工作。</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（3）抢险队</w:t>
      </w:r>
      <w:r>
        <w:rPr>
          <w:rFonts w:ascii="仿宋_GB2312" w:eastAsia="仿宋_GB2312"/>
          <w:spacing w:val="6"/>
          <w:sz w:val="32"/>
          <w:szCs w:val="32"/>
          <w:lang w:val="zh-CN"/>
        </w:rPr>
        <w:t>全部上堤，对险工、险段及涵闸（管）要加强防守</w:t>
      </w:r>
      <w:r>
        <w:rPr>
          <w:rFonts w:ascii="仿宋_GB2312" w:eastAsia="仿宋_GB2312"/>
          <w:sz w:val="32"/>
          <w:lang w:val="zh-CN"/>
        </w:rPr>
        <w:t>。</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（4）各种抢险工具物料上堤，堆放在险工险段及涵闸（管）处，以便随时调用。</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（5）洪水超过戗台时，后备队全部上堤，以村为单位负责本镇或本村的堤段，服从市级指挥部调遣。</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（6）出现重大险情需请求上级支援。</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（7）当发生险情时的紧急抢险措施：</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管涌：抢护要点是反滤导渗，蓄水反压。发现管涌后应在管涌周围清除杂物，然后按级配填粗砂、卵石。</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漏洞：发生漏洞抢护方法是临河堵漏洞，背河做围井。</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临河坍塌：抢护要点是洪水临堤，或高水位时风浪冲击，或旁道水流冲刷而引起临河坡岸崩塌，可以采用抛石护脚，挂树缓溜，石料充足的险段可用抛石护脚，也可用土工织物加载护脚。</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沉陷：抢护方法应本着“上堵、下排”的原则。塌坑在背水坡堤顶附近，没有漏洞可将坑内松土清除，然后逐层回填夯实至原断面。有渗漏且在迎水坡的塌坑可在临河堵漏洞，背坡做围井。</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堤身裂缝：抢护原则是隔断水源，开挖回填。堤身横断有裂缝，有可能与河水相通，应在临河帮修戗台，截断水流，再开挖回填夯实。</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跌窝：抢救要点是分析原因，还土填筑。</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闸体滑动：在闸下游堆重阻滑也可作围墙围堵。</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8）当发生决口时，应首先根据不同决口处的水位差，流速及决口处的地形、地质条件，确定有效抢筑裹头的措施。通常在水浅流急，土质较差的地带，则考虑采用抗冲流速较大的石笼等进行裹护。也可采用钢土木石组合坝。若多处决口，则堵口的顺序应本着“先堵下游，后堵上游，先堵小口，后堵大口”的原则，堵口一般分平堵、立堵、平立堵结合酌情安排实施。</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rPr>
        <w:t>3</w:t>
      </w:r>
      <w:r>
        <w:rPr>
          <w:rFonts w:ascii="仿宋_GB2312" w:eastAsia="仿宋_GB2312"/>
          <w:sz w:val="32"/>
          <w:szCs w:val="32"/>
        </w:rPr>
        <w:t>.</w:t>
      </w:r>
      <w:r>
        <w:rPr>
          <w:rFonts w:ascii="仿宋_GB2312" w:eastAsia="仿宋_GB2312"/>
          <w:sz w:val="32"/>
          <w:lang w:val="zh-CN"/>
        </w:rPr>
        <w:t>人员救生</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按照滞洪区运用方案，结合实际制定完善抢救行动计划，抢险救生组负责抢救船只的数量调度，抢救船进入分洪区的路线及方式。对救生衣的接收与发放，抢救船上力量部署及抢救人员分布，抢救区域划分和抢救安置办法，以及船只的油料补充，通讯联系，卫生防疫和应该注意的电力线路等诸多细节，进行深入研究和讨论，逐条逐项，逐点加以规定布置和说明，并制定巡查和搜救措施。</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（1）加强群</w:t>
      </w:r>
      <w:r>
        <w:rPr>
          <w:rFonts w:ascii="仿宋_GB2312" w:eastAsia="仿宋_GB2312"/>
          <w:spacing w:val="6"/>
          <w:sz w:val="32"/>
          <w:szCs w:val="32"/>
          <w:lang w:val="zh-CN"/>
        </w:rPr>
        <w:t>众转移指挥领导，各级指挥机构主要领导坐镇指挥</w:t>
      </w:r>
      <w:r>
        <w:rPr>
          <w:rFonts w:ascii="仿宋_GB2312" w:eastAsia="仿宋_GB2312"/>
          <w:sz w:val="32"/>
          <w:lang w:val="zh-CN"/>
        </w:rPr>
        <w:t>。</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（2）按照运用方案实施，内外转移均有镇、村领导带队，各安置地，外转交接点均有领导干部或工作人员接应安排，及时协调解决转移安置中的各类问题。</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（3）及时调集转移车船，并且合理调整船只的数量、吨位，做到即能调剂到位、又能充分利用。</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（4）适时实行交通管制，公安交通部门全力以赴疏通交通要道，维护转移安置秩序。</w:t>
      </w:r>
    </w:p>
    <w:p>
      <w:pPr>
        <w:adjustRightInd w:val="0"/>
        <w:snapToGrid w:val="0"/>
        <w:spacing w:line="600" w:lineRule="exact"/>
        <w:ind w:firstLine="640" w:firstLineChars="200"/>
        <w:rPr>
          <w:rFonts w:hint="eastAsia" w:ascii="仿宋_GB2312" w:eastAsia="仿宋_GB2312"/>
          <w:sz w:val="32"/>
          <w:lang w:val="zh-CN"/>
        </w:rPr>
      </w:pPr>
      <w:r>
        <w:rPr>
          <w:rFonts w:hint="eastAsia" w:ascii="仿宋_GB2312" w:eastAsia="仿宋_GB2312"/>
          <w:sz w:val="32"/>
          <w:lang w:val="zh-CN"/>
        </w:rPr>
        <w:t>（5）</w:t>
      </w:r>
      <w:r>
        <w:rPr>
          <w:rFonts w:ascii="仿宋_GB2312" w:eastAsia="仿宋_GB2312"/>
          <w:sz w:val="32"/>
          <w:lang w:val="zh-CN"/>
        </w:rPr>
        <w:t>认真组织拉网搜索，指挥部负责转移的领导要亲临分洪区腹地，检察督办，在行洪区内进行拉网式搜索，对不愿转移的群众实行强制性转移，确保无人员伤亡事件的发生。</w:t>
      </w:r>
    </w:p>
    <w:p>
      <w:pPr>
        <w:adjustRightInd w:val="0"/>
        <w:snapToGrid w:val="0"/>
        <w:spacing w:line="600" w:lineRule="exact"/>
        <w:ind w:firstLine="640" w:firstLineChars="200"/>
        <w:rPr>
          <w:rFonts w:hint="eastAsia" w:ascii="黑体" w:eastAsia="黑体"/>
          <w:sz w:val="32"/>
          <w:szCs w:val="32"/>
        </w:rPr>
      </w:pPr>
      <w:bookmarkStart w:id="32" w:name="_Toc326521183"/>
      <w:r>
        <w:rPr>
          <w:rFonts w:hint="eastAsia" w:ascii="黑体" w:eastAsia="黑体"/>
          <w:sz w:val="32"/>
          <w:szCs w:val="32"/>
        </w:rPr>
        <w:t>七、返迁与善后</w:t>
      </w:r>
      <w:bookmarkEnd w:id="32"/>
    </w:p>
    <w:p>
      <w:pPr>
        <w:adjustRightInd w:val="0"/>
        <w:snapToGrid w:val="0"/>
        <w:spacing w:line="600" w:lineRule="exact"/>
        <w:ind w:firstLine="640" w:firstLineChars="200"/>
        <w:rPr>
          <w:rFonts w:hint="eastAsia" w:ascii="楷体_GB2312" w:eastAsia="楷体_GB2312"/>
          <w:sz w:val="32"/>
          <w:szCs w:val="32"/>
        </w:rPr>
      </w:pPr>
      <w:bookmarkStart w:id="33" w:name="_Toc19137"/>
      <w:bookmarkStart w:id="34" w:name="_Toc13038"/>
      <w:bookmarkStart w:id="35" w:name="_Toc326521186"/>
      <w:r>
        <w:rPr>
          <w:rFonts w:hint="eastAsia" w:ascii="楷体_GB2312" w:eastAsia="楷体_GB2312"/>
          <w:sz w:val="32"/>
          <w:szCs w:val="32"/>
        </w:rPr>
        <w:t>（一）返迁</w:t>
      </w:r>
      <w:bookmarkEnd w:id="33"/>
      <w:bookmarkEnd w:id="34"/>
    </w:p>
    <w:p>
      <w:pPr>
        <w:adjustRightInd w:val="0"/>
        <w:snapToGrid w:val="0"/>
        <w:spacing w:line="600" w:lineRule="exact"/>
        <w:ind w:firstLine="640" w:firstLineChars="200"/>
        <w:rPr>
          <w:rFonts w:hint="eastAsia" w:ascii="仿宋_GB2312" w:eastAsia="仿宋_GB2312"/>
          <w:sz w:val="32"/>
          <w:szCs w:val="32"/>
        </w:rPr>
      </w:pPr>
      <w:r>
        <w:rPr>
          <w:rFonts w:hint="eastAsia" w:ascii="仿宋_GB2312" w:hAnsi="宋体" w:eastAsia="仿宋_GB2312"/>
          <w:sz w:val="32"/>
          <w:szCs w:val="32"/>
        </w:rPr>
        <w:t>1</w:t>
      </w:r>
      <w:r>
        <w:rPr>
          <w:rFonts w:hint="eastAsia" w:ascii="仿宋_GB2312" w:eastAsia="仿宋_GB2312"/>
          <w:sz w:val="32"/>
          <w:szCs w:val="32"/>
        </w:rPr>
        <w:t>.南四湖湖东滞洪区界郭片（滕州）滞洪区启用后，当洪水退去，对滞洪区区域内受洪水淹没的桥梁、道路安全检查责任单位为市交通运输局。</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桥梁道路安全检查职责：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（1）集中组织技术力量对桥梁、道路进行全面安全检查和评估，必要时请专业的桥梁咨询、检测机构进行检测。</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（2）应派出人员对公路沿线和主要工程地段进行巡逻，及时发现险情，果断采取有效处理措施；并主动协调有关镇，实行联动互动机制，设立联系人、联系电话，确保信息畅通。</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（3）明确责任，对检查情况登记造册，按照谁检查，谁签字，谁负责的原则开展工作。</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对桥梁下部构造（水下部分）进行认真检查，特别是扩大基础拱桥要进行全面排查，认真排查基础冲刷脱空情况，切实掌握桥梁基础的稳定情况，对存在安全隐患的桥梁要采取措施及时整改，不能马上整改的要落实专人监管，并做好日常观测记录，上报隐患演变情况。</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（5）对三类危桥、险桥要指定专人监管，并在桥梁两端增设限行、限高、限速、限载等标志牌和安全警示牌，必要时采取相应的临时处置和监管措施，避免安全事故发生。</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（6）对四、五类危桥立即采取封闭交通、设置绕行便道等措施。</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（7）对基础受洪水影响情况不明的桥梁，应暂时关闭或视情况在确保安全的前提下进行交通管制通行。</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（8）加强重要险情通报制度，密切注意路况和桥梁工况变化，一旦发生重大险情要及时、准确、全面地做好信息和报表的报送工作。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2.南四湖湖东滞洪区界郭片（滕州）滞洪区启用后，当洪水退去，对滞洪区区域内受洪水淹没的房屋安全检查责任单位为市住建局。</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房屋安全检查职责：</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（1）明确责任，对检查情况登记造册，按照谁检查，谁签字，谁负责的原则开展工作。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（2）严格按照鉴定标准、规范和规程进行房屋安全检查鉴定。将所查房屋分为3类：Ⅰ可以回迁；Ⅱ需局部处理，消除危险；Ⅲ结构危险，不能回迁。</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检查房屋建筑及其附属设施的地基基础、墙体、屋架等承重结构和受力集中的部位。对土木、砖土木及砖木结构的平房和简易结构楼房比较隐蔽的梁、檩、椽及屋面板等屋盖部分要重点检查，查清木结构的完损情况。</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（4）对查找出来的隐患和问题，要制定专人负责，采取有效措施，确保人身安全，并限期整改，及时消除事故隐患。</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（5）对检查中发现的严重危及安全的整幢危房，要给住户发危房通知单，房屋要停止使用，条件允许的要拆除；对局部有险情的要根据情况采取加固、拆换危险构件等措施，并作好维修安排。</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（6）对检查出的危房，未解除危险的，一律不得使用和居住。</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3.南四湖湖东滞洪区界郭片（滕州）滞洪区启用后，当洪水退去，对滞洪区区域内原居地环境清理和消毒等卫生防疫工作的责任单位为市卫健局。</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卫生防疫工作职责：</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灾民集中安置点</w:t>
      </w:r>
      <w:r>
        <w:rPr>
          <w:rFonts w:hint="eastAsia" w:ascii="仿宋_GB2312" w:eastAsia="仿宋_GB2312"/>
          <w:sz w:val="32"/>
          <w:szCs w:val="32"/>
        </w:rPr>
        <w:t>：</w:t>
      </w:r>
    </w:p>
    <w:p>
      <w:pPr>
        <w:adjustRightInd w:val="0"/>
        <w:snapToGrid w:val="0"/>
        <w:spacing w:line="60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1 \* GB3 \* MERGEFORMAT </w:instrText>
      </w:r>
      <w:r>
        <w:rPr>
          <w:rFonts w:ascii="仿宋_GB2312" w:eastAsia="仿宋_GB2312"/>
          <w:sz w:val="32"/>
          <w:szCs w:val="32"/>
        </w:rPr>
        <w:fldChar w:fldCharType="separate"/>
      </w:r>
      <w:r>
        <w:rPr>
          <w:rFonts w:ascii="仿宋_GB2312" w:eastAsia="仿宋_GB2312"/>
          <w:sz w:val="32"/>
          <w:szCs w:val="32"/>
        </w:rPr>
        <w:t>①</w:t>
      </w:r>
      <w:r>
        <w:rPr>
          <w:rFonts w:ascii="仿宋_GB2312" w:eastAsia="仿宋_GB2312"/>
          <w:sz w:val="32"/>
          <w:szCs w:val="32"/>
        </w:rPr>
        <w:fldChar w:fldCharType="end"/>
      </w:r>
      <w:r>
        <w:rPr>
          <w:rFonts w:ascii="仿宋_GB2312" w:eastAsia="仿宋_GB2312"/>
          <w:sz w:val="32"/>
          <w:szCs w:val="32"/>
        </w:rPr>
        <w:t>对所在地灾民集中安置点的设置（包括安置点选址、灾民规模、医疗和卫生监督人员的配置等）提出指导意见。</w:t>
      </w:r>
    </w:p>
    <w:p>
      <w:pPr>
        <w:adjustRightInd w:val="0"/>
        <w:snapToGrid w:val="0"/>
        <w:spacing w:line="60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2 \* GB3 \* MERGEFORMAT </w:instrText>
      </w:r>
      <w:r>
        <w:rPr>
          <w:rFonts w:ascii="仿宋_GB2312" w:eastAsia="仿宋_GB2312"/>
          <w:sz w:val="32"/>
          <w:szCs w:val="32"/>
        </w:rPr>
        <w:fldChar w:fldCharType="separate"/>
      </w:r>
      <w:r>
        <w:rPr>
          <w:rFonts w:ascii="仿宋_GB2312" w:eastAsia="仿宋_GB2312"/>
          <w:sz w:val="32"/>
          <w:szCs w:val="32"/>
        </w:rPr>
        <w:t>②</w:t>
      </w:r>
      <w:r>
        <w:rPr>
          <w:rFonts w:ascii="仿宋_GB2312" w:eastAsia="仿宋_GB2312"/>
          <w:sz w:val="32"/>
          <w:szCs w:val="32"/>
        </w:rPr>
        <w:fldChar w:fldCharType="end"/>
      </w:r>
      <w:r>
        <w:rPr>
          <w:rFonts w:ascii="仿宋_GB2312" w:eastAsia="仿宋_GB2312"/>
          <w:sz w:val="32"/>
          <w:szCs w:val="32"/>
        </w:rPr>
        <w:t>掌握受灾伤亡情况、尸体处理、环境消毒杀虫情况。</w:t>
      </w:r>
    </w:p>
    <w:p>
      <w:pPr>
        <w:adjustRightInd w:val="0"/>
        <w:snapToGrid w:val="0"/>
        <w:spacing w:line="60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3 \* GB3 \* MERGEFORMAT </w:instrText>
      </w:r>
      <w:r>
        <w:rPr>
          <w:rFonts w:ascii="仿宋_GB2312" w:eastAsia="仿宋_GB2312"/>
          <w:sz w:val="32"/>
          <w:szCs w:val="32"/>
        </w:rPr>
        <w:fldChar w:fldCharType="separate"/>
      </w:r>
      <w:r>
        <w:rPr>
          <w:rFonts w:ascii="仿宋_GB2312" w:eastAsia="仿宋_GB2312"/>
          <w:sz w:val="32"/>
          <w:szCs w:val="32"/>
        </w:rPr>
        <w:t>③</w:t>
      </w:r>
      <w:r>
        <w:rPr>
          <w:rFonts w:ascii="仿宋_GB2312" w:eastAsia="仿宋_GB2312"/>
          <w:sz w:val="32"/>
          <w:szCs w:val="32"/>
        </w:rPr>
        <w:fldChar w:fldCharType="end"/>
      </w:r>
      <w:r>
        <w:rPr>
          <w:rFonts w:ascii="仿宋_GB2312" w:eastAsia="仿宋_GB2312"/>
          <w:sz w:val="32"/>
          <w:szCs w:val="32"/>
        </w:rPr>
        <w:t>掌握饮用水、生活用水、食品卫生、环境卫生、安置点医疗站、人畜粪便垃圾处理等情况。</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④</w:t>
      </w:r>
      <w:r>
        <w:rPr>
          <w:rFonts w:ascii="仿宋_GB2312" w:eastAsia="仿宋_GB2312"/>
          <w:sz w:val="32"/>
          <w:szCs w:val="32"/>
        </w:rPr>
        <w:t>开展鼠密度、蚊蝇等密度监测，指导开展消杀灭。</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⑤</w:t>
      </w:r>
      <w:r>
        <w:rPr>
          <w:rFonts w:ascii="仿宋_GB2312" w:eastAsia="仿宋_GB2312"/>
          <w:sz w:val="32"/>
          <w:szCs w:val="32"/>
        </w:rPr>
        <w:t>对灾</w:t>
      </w:r>
      <w:r>
        <w:rPr>
          <w:rFonts w:hint="eastAsia" w:ascii="仿宋_GB2312" w:eastAsia="仿宋_GB2312"/>
          <w:sz w:val="32"/>
          <w:szCs w:val="32"/>
        </w:rPr>
        <w:t>区</w:t>
      </w:r>
      <w:r>
        <w:rPr>
          <w:rFonts w:ascii="仿宋_GB2312" w:eastAsia="仿宋_GB2312"/>
          <w:sz w:val="32"/>
          <w:szCs w:val="32"/>
        </w:rPr>
        <w:t>灾民安置点或小范围居住点的卫生状况及需求进行快速评估，预警分析。</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⑥</w:t>
      </w:r>
      <w:r>
        <w:rPr>
          <w:rFonts w:ascii="仿宋_GB2312" w:eastAsia="仿宋_GB2312"/>
          <w:sz w:val="32"/>
          <w:szCs w:val="32"/>
        </w:rPr>
        <w:t>针对风险或存在问题进行指导、培训。</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（2）滞洪区洪水退去，淹没区环境清理和消毒工作：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①认真落实和实施各项卫生防疫措施，要求任务及所有工作均有具体部门、人员负责，确保防疫措施落实到位。  </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②严格疫情报告制度，做好相关传染病监测，坚持肠道门诊制度。  </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③根据疫情及疫情分析预测，对在汛期可能发生的常见传染病的易感人群组织疫苗接种，提高人群的抗病能力。  </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④开展爱国卫生运动，做好环境治理及杀灭病媒生物工作，确保无大疫。</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南四湖湖东滞洪区界郭片（滕州）滞洪区启用后，当洪水退去，由市应急管理局主要负责人为组长负责对蓄滞洪区公共设施安全隐患进行检查并制定整改意见，如电力、通讯等的安全检查工作；滕州供电部负责电力的修复工作，枣庄联通、移动滕州分公司负责通讯网络的修复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工作职责：</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（1）本着</w:t>
      </w:r>
      <w:r>
        <w:rPr>
          <w:rFonts w:hint="eastAsia" w:ascii="仿宋_GB2312" w:hAnsi="仿宋_GB2312" w:eastAsia="仿宋_GB2312" w:cs="仿宋_GB2312"/>
          <w:sz w:val="32"/>
          <w:szCs w:val="32"/>
        </w:rPr>
        <w:t>“</w:t>
      </w:r>
      <w:r>
        <w:rPr>
          <w:rFonts w:hint="eastAsia" w:ascii="仿宋_GB2312" w:eastAsia="仿宋_GB2312"/>
          <w:sz w:val="32"/>
          <w:szCs w:val="32"/>
        </w:rPr>
        <w:t>安全第一、以人为本</w:t>
      </w:r>
      <w:r>
        <w:rPr>
          <w:rFonts w:hint="eastAsia" w:ascii="仿宋_GB2312" w:hAnsi="仿宋_GB2312" w:eastAsia="仿宋_GB2312" w:cs="仿宋_GB2312"/>
          <w:sz w:val="32"/>
          <w:szCs w:val="32"/>
        </w:rPr>
        <w:t>”</w:t>
      </w:r>
      <w:r>
        <w:rPr>
          <w:rFonts w:hint="eastAsia" w:ascii="仿宋_GB2312" w:eastAsia="仿宋_GB2312"/>
          <w:sz w:val="32"/>
          <w:szCs w:val="32"/>
        </w:rPr>
        <w:t>的原则开展工作。</w:t>
      </w:r>
    </w:p>
    <w:p>
      <w:pPr>
        <w:adjustRightInd w:val="0"/>
        <w:snapToGrid w:val="0"/>
        <w:spacing w:line="600" w:lineRule="exact"/>
        <w:rPr>
          <w:rFonts w:hint="eastAsia" w:ascii="仿宋_GB2312" w:eastAsia="仿宋_GB2312"/>
          <w:sz w:val="32"/>
          <w:szCs w:val="32"/>
        </w:rPr>
      </w:pPr>
      <w:r>
        <w:rPr>
          <w:rFonts w:hint="eastAsia" w:ascii="仿宋_GB2312" w:eastAsia="仿宋_GB2312"/>
          <w:sz w:val="32"/>
          <w:szCs w:val="32"/>
        </w:rPr>
        <w:t xml:space="preserve">    （2）调查滞洪区内电力、通讯设施的破坏情况，评估电力、通讯设施的安全性能，及时组织抢险，排险和修复。</w:t>
      </w:r>
    </w:p>
    <w:p>
      <w:pPr>
        <w:adjustRightInd w:val="0"/>
        <w:snapToGrid w:val="0"/>
        <w:spacing w:line="600" w:lineRule="exact"/>
        <w:rPr>
          <w:rFonts w:hint="eastAsia" w:ascii="仿宋_GB2312" w:eastAsia="仿宋_GB2312"/>
          <w:sz w:val="32"/>
          <w:szCs w:val="32"/>
        </w:rPr>
      </w:pPr>
      <w:r>
        <w:rPr>
          <w:rFonts w:hint="eastAsia" w:ascii="仿宋_GB2312" w:eastAsia="仿宋_GB2312"/>
          <w:sz w:val="32"/>
          <w:szCs w:val="32"/>
        </w:rPr>
        <w:t xml:space="preserve">    （3）电器设备和线路明确专人负责，检修完毕检查无误后，才能合闸送电。</w:t>
      </w:r>
    </w:p>
    <w:p>
      <w:pPr>
        <w:adjustRightInd w:val="0"/>
        <w:snapToGrid w:val="0"/>
        <w:spacing w:line="600" w:lineRule="exact"/>
        <w:rPr>
          <w:rFonts w:hint="eastAsia" w:ascii="仿宋_GB2312" w:eastAsia="仿宋_GB2312"/>
          <w:sz w:val="32"/>
          <w:szCs w:val="32"/>
        </w:rPr>
      </w:pPr>
      <w:r>
        <w:rPr>
          <w:rFonts w:hint="eastAsia" w:ascii="仿宋_GB2312" w:eastAsia="仿宋_GB2312"/>
          <w:sz w:val="32"/>
          <w:szCs w:val="32"/>
        </w:rPr>
        <w:t xml:space="preserve">    （4）指导、监督回迁居民的安全用电等事宜。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5.符合以下条件者可让滞洪转移居民立即返迁：</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（1）退水后的道路、桥梁机动农用车辆可以安全通行。</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（2）经房产、卫生部门鉴定，水淹房屋经过加固和消毒后基本符合卫生和安全居住条件。</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（3）倒塌房屋重建或迁建完工并验收合格。</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（4）滞洪区内无流行性疾病。</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（5）转移人员身体状况良好。</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（6）气象部门预测近期无较大的雨情、水情。</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当南四湖湖东滞洪区界郭片（滕州）滞洪区具备居民返迁条件时，市民政局负责组织居民返迁，市交运局负责组织返迁交通工具的筹措，按照原撤退路线原路返回居住地。</w:t>
      </w:r>
    </w:p>
    <w:p>
      <w:pPr>
        <w:adjustRightInd w:val="0"/>
        <w:snapToGrid w:val="0"/>
        <w:spacing w:line="600" w:lineRule="exact"/>
        <w:ind w:firstLine="640" w:firstLineChars="200"/>
        <w:rPr>
          <w:rFonts w:hint="eastAsia" w:ascii="楷体_GB2312" w:eastAsia="楷体_GB2312"/>
          <w:sz w:val="32"/>
          <w:szCs w:val="32"/>
        </w:rPr>
      </w:pPr>
      <w:bookmarkStart w:id="36" w:name="_Toc16013"/>
      <w:r>
        <w:rPr>
          <w:rFonts w:hint="eastAsia" w:ascii="楷体_GB2312" w:eastAsia="楷体_GB2312"/>
          <w:sz w:val="32"/>
          <w:szCs w:val="32"/>
        </w:rPr>
        <w:t>（二）善后</w:t>
      </w:r>
      <w:bookmarkEnd w:id="36"/>
    </w:p>
    <w:p>
      <w:pPr>
        <w:adjustRightInd w:val="0"/>
        <w:snapToGrid w:val="0"/>
        <w:spacing w:line="600" w:lineRule="exact"/>
        <w:ind w:firstLine="640" w:firstLineChars="200"/>
        <w:rPr>
          <w:rFonts w:ascii="仿宋_GB2312" w:hAnsi="仿宋_GB2312" w:eastAsia="仿宋_GB2312"/>
          <w:sz w:val="32"/>
        </w:rPr>
      </w:pPr>
      <w:r>
        <w:rPr>
          <w:rFonts w:hint="eastAsia" w:ascii="仿宋_GB2312" w:eastAsia="仿宋_GB2312"/>
          <w:sz w:val="32"/>
          <w:szCs w:val="32"/>
        </w:rPr>
        <w:t>1.按照</w:t>
      </w:r>
      <w:r>
        <w:rPr>
          <w:rFonts w:ascii="仿宋_GB2312" w:hAnsi="仿宋_GB2312" w:eastAsia="仿宋_GB2312"/>
          <w:sz w:val="32"/>
        </w:rPr>
        <w:t>国务院《蓄滞洪</w:t>
      </w:r>
      <w:r>
        <w:rPr>
          <w:rFonts w:hint="eastAsia" w:ascii="仿宋_GB2312" w:hAnsi="仿宋_GB2312" w:eastAsia="仿宋_GB2312"/>
          <w:sz w:val="32"/>
        </w:rPr>
        <w:t>区</w:t>
      </w:r>
      <w:r>
        <w:rPr>
          <w:rFonts w:ascii="仿宋_GB2312" w:hAnsi="仿宋_GB2312" w:eastAsia="仿宋_GB2312"/>
          <w:sz w:val="32"/>
        </w:rPr>
        <w:t>运用补偿暂行办法》，财政部《国家蓄滞洪</w:t>
      </w:r>
      <w:r>
        <w:rPr>
          <w:rFonts w:hint="eastAsia" w:ascii="仿宋_GB2312" w:hAnsi="仿宋_GB2312" w:eastAsia="仿宋_GB2312"/>
          <w:sz w:val="32"/>
        </w:rPr>
        <w:t>区</w:t>
      </w:r>
      <w:r>
        <w:rPr>
          <w:rFonts w:ascii="仿宋_GB2312" w:hAnsi="仿宋_GB2312" w:eastAsia="仿宋_GB2312"/>
          <w:sz w:val="32"/>
        </w:rPr>
        <w:t>运用财政补偿资金管理规定》</w:t>
      </w:r>
      <w:r>
        <w:rPr>
          <w:rFonts w:hint="eastAsia" w:ascii="仿宋_GB2312" w:hAnsi="仿宋_GB2312" w:eastAsia="仿宋_GB2312"/>
          <w:sz w:val="32"/>
        </w:rPr>
        <w:t>对滞洪区内的财产进行补偿工作，分别由市财政局、市</w:t>
      </w:r>
      <w:r>
        <w:rPr>
          <w:rFonts w:hint="eastAsia" w:ascii="仿宋_GB2312" w:hAnsi="宋体" w:eastAsia="仿宋_GB2312"/>
          <w:sz w:val="32"/>
          <w:szCs w:val="32"/>
        </w:rPr>
        <w:t>城乡水务局</w:t>
      </w:r>
      <w:r>
        <w:rPr>
          <w:rFonts w:hint="eastAsia" w:ascii="仿宋_GB2312" w:hAnsi="仿宋_GB2312" w:eastAsia="仿宋_GB2312"/>
          <w:sz w:val="32"/>
        </w:rPr>
        <w:t>负责</w:t>
      </w:r>
      <w:r>
        <w:rPr>
          <w:rFonts w:ascii="仿宋_GB2312" w:hAnsi="仿宋_GB2312" w:eastAsia="仿宋_GB2312"/>
          <w:sz w:val="32"/>
        </w:rPr>
        <w:t>。</w:t>
      </w:r>
    </w:p>
    <w:p>
      <w:pPr>
        <w:adjustRightInd w:val="0"/>
        <w:snapToGrid w:val="0"/>
        <w:spacing w:line="600" w:lineRule="exact"/>
        <w:ind w:firstLine="640" w:firstLineChars="200"/>
        <w:rPr>
          <w:rFonts w:hint="eastAsia" w:ascii="仿宋_GB2312" w:hAnsi="仿宋_GB2312" w:eastAsia="仿宋_GB2312"/>
          <w:sz w:val="32"/>
        </w:rPr>
      </w:pPr>
      <w:r>
        <w:rPr>
          <w:rFonts w:hint="eastAsia" w:ascii="仿宋_GB2312" w:hAnsi="仿宋_GB2312" w:eastAsia="仿宋_GB2312"/>
          <w:sz w:val="32"/>
        </w:rPr>
        <w:t>滞洪区运用补偿工作职责：</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（1）市镇</w:t>
      </w:r>
      <w:r>
        <w:rPr>
          <w:rFonts w:ascii="仿宋_GB2312" w:eastAsia="仿宋_GB2312"/>
          <w:sz w:val="32"/>
          <w:szCs w:val="32"/>
        </w:rPr>
        <w:t>成立滞洪</w:t>
      </w:r>
      <w:r>
        <w:rPr>
          <w:rFonts w:hint="eastAsia" w:ascii="仿宋_GB2312" w:eastAsia="仿宋_GB2312"/>
          <w:sz w:val="32"/>
          <w:szCs w:val="32"/>
        </w:rPr>
        <w:t>区</w:t>
      </w:r>
      <w:r>
        <w:rPr>
          <w:rFonts w:ascii="仿宋_GB2312" w:eastAsia="仿宋_GB2312"/>
          <w:sz w:val="32"/>
          <w:szCs w:val="32"/>
        </w:rPr>
        <w:t>运用补偿工作领导小组。</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组织制订滞洪</w:t>
      </w:r>
      <w:r>
        <w:rPr>
          <w:rFonts w:hint="eastAsia" w:ascii="仿宋_GB2312" w:eastAsia="仿宋_GB2312"/>
          <w:sz w:val="32"/>
          <w:szCs w:val="32"/>
        </w:rPr>
        <w:t>区</w:t>
      </w:r>
      <w:r>
        <w:rPr>
          <w:rFonts w:ascii="仿宋_GB2312" w:eastAsia="仿宋_GB2312"/>
          <w:sz w:val="32"/>
          <w:szCs w:val="32"/>
        </w:rPr>
        <w:t>运用补偿工作财产登记核查方案，印制相关登记核查表格。</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组织、培训居民财产登记、核查工作人员。</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对照政策，明确范围，规范程序，严明纪律，严格督查，认真操作，扎实开展运用补偿工作。</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广泛宣传补偿政策，使补偿政策达到家喻户晓，人人皆知，增强广大干部群众对补偿资金发放工作重要性、严肃性的认识，引导群众正确理解“补偿”与“赔偿”、“补偿”与“</w:t>
      </w:r>
      <w:r>
        <w:rPr>
          <w:rFonts w:hint="eastAsia" w:ascii="仿宋_GB2312" w:eastAsia="仿宋_GB2312"/>
          <w:sz w:val="32"/>
          <w:szCs w:val="32"/>
        </w:rPr>
        <w:t>救助</w:t>
      </w:r>
      <w:r>
        <w:rPr>
          <w:rFonts w:ascii="仿宋_GB2312" w:eastAsia="仿宋_GB2312"/>
          <w:sz w:val="32"/>
          <w:szCs w:val="32"/>
        </w:rPr>
        <w:t>”、“地理位置与补偿范围”等之间的关系。</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w:t>
      </w:r>
      <w:r>
        <w:rPr>
          <w:rFonts w:ascii="仿宋_GB2312" w:eastAsia="仿宋_GB2312"/>
          <w:sz w:val="32"/>
          <w:szCs w:val="32"/>
        </w:rPr>
        <w:t>严格按补偿标准再次核定补偿数量，逐户计算补偿金额，实行总量控制，分解到户。</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（7）</w:t>
      </w:r>
      <w:r>
        <w:rPr>
          <w:rFonts w:ascii="仿宋_GB2312" w:eastAsia="仿宋_GB2312"/>
          <w:sz w:val="32"/>
          <w:szCs w:val="32"/>
        </w:rPr>
        <w:t>对拟发放的补偿资金“公示”，以组为单位张榜公示三至五天，做到群众无异议。</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（8）</w:t>
      </w:r>
      <w:r>
        <w:rPr>
          <w:rFonts w:ascii="仿宋_GB2312" w:eastAsia="仿宋_GB2312"/>
          <w:sz w:val="32"/>
          <w:szCs w:val="32"/>
        </w:rPr>
        <w:t>补偿资金实行专账管理，封闭运行，</w:t>
      </w:r>
      <w:r>
        <w:rPr>
          <w:rFonts w:hint="eastAsia" w:ascii="仿宋_GB2312" w:eastAsia="仿宋_GB2312"/>
          <w:sz w:val="32"/>
          <w:szCs w:val="32"/>
        </w:rPr>
        <w:t>市</w:t>
      </w:r>
      <w:r>
        <w:rPr>
          <w:rFonts w:ascii="仿宋_GB2312" w:eastAsia="仿宋_GB2312"/>
          <w:sz w:val="32"/>
          <w:szCs w:val="32"/>
        </w:rPr>
        <w:t>财政设立专户，专账管理，由</w:t>
      </w:r>
      <w:r>
        <w:rPr>
          <w:rFonts w:hint="eastAsia" w:ascii="仿宋_GB2312" w:eastAsia="仿宋_GB2312"/>
          <w:sz w:val="32"/>
          <w:szCs w:val="32"/>
        </w:rPr>
        <w:t>市</w:t>
      </w:r>
      <w:r>
        <w:rPr>
          <w:rFonts w:ascii="仿宋_GB2312" w:eastAsia="仿宋_GB2312"/>
          <w:sz w:val="32"/>
          <w:szCs w:val="32"/>
        </w:rPr>
        <w:t>财政、</w:t>
      </w:r>
      <w:r>
        <w:rPr>
          <w:rFonts w:hint="eastAsia" w:ascii="仿宋_GB2312" w:eastAsia="仿宋_GB2312"/>
          <w:sz w:val="32"/>
          <w:szCs w:val="32"/>
        </w:rPr>
        <w:t>水务</w:t>
      </w:r>
      <w:r>
        <w:rPr>
          <w:rFonts w:ascii="仿宋_GB2312" w:eastAsia="仿宋_GB2312"/>
          <w:sz w:val="32"/>
          <w:szCs w:val="32"/>
        </w:rPr>
        <w:t>、金融等部门联合办公，进村设点。</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（9）</w:t>
      </w:r>
      <w:r>
        <w:rPr>
          <w:rFonts w:ascii="仿宋_GB2312" w:eastAsia="仿宋_GB2312"/>
          <w:sz w:val="32"/>
          <w:szCs w:val="32"/>
        </w:rPr>
        <w:t>严格补偿发放手续，凭身份证领取补偿款，由金融部门人员现场开具活期存折，直接发放到户。</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（10）</w:t>
      </w:r>
      <w:r>
        <w:rPr>
          <w:rFonts w:ascii="仿宋_GB2312" w:eastAsia="仿宋_GB2312"/>
          <w:sz w:val="32"/>
          <w:szCs w:val="32"/>
        </w:rPr>
        <w:t>加强对补偿资金发放工作的督察，严禁以任何名义借机搭车收费，克扣群众补偿资金，确保补偿资金全部足额到户。</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2.南四湖湖东滞洪区界郭片（滕州）滞洪区进退洪口的堵复关闭工作由枣庄市湖东堤管理局负责。</w:t>
      </w:r>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八、附图附表</w:t>
      </w:r>
      <w:bookmarkEnd w:id="35"/>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附表1：滞洪区基本情况表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附表2：滞洪区社会经济统计表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附表3：滞洪区历年运用情况统计表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附表4：滞洪区居民就地安置与转移安置计划表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附表5：滞洪区学生转移上课学校计划表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附表6：滞洪区居民财产登记及变更登记汇总表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附表7：滞洪区物料储备表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附图1：滞洪区指挥机构简略图</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附图2：南四湖湖东滞洪区位置示意图</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附图3：村庄转移安置示意图</w:t>
      </w:r>
    </w:p>
    <w:p>
      <w:pPr>
        <w:adjustRightInd w:val="0"/>
        <w:snapToGrid w:val="0"/>
        <w:spacing w:line="600" w:lineRule="exact"/>
        <w:ind w:firstLine="640" w:firstLineChars="200"/>
        <w:rPr>
          <w:rFonts w:hint="eastAsia" w:ascii="仿宋_GB2312" w:eastAsia="仿宋_GB2312"/>
          <w:bCs/>
          <w:sz w:val="32"/>
          <w:szCs w:val="32"/>
        </w:rPr>
      </w:pPr>
    </w:p>
    <w:p>
      <w:pPr>
        <w:adjustRightInd w:val="0"/>
        <w:snapToGrid w:val="0"/>
        <w:spacing w:line="600" w:lineRule="exact"/>
        <w:ind w:firstLine="640" w:firstLineChars="200"/>
        <w:rPr>
          <w:rFonts w:hint="eastAsia" w:ascii="仿宋_GB2312" w:eastAsia="仿宋_GB2312"/>
          <w:bCs/>
          <w:sz w:val="32"/>
          <w:szCs w:val="32"/>
        </w:rPr>
      </w:pPr>
    </w:p>
    <w:tbl>
      <w:tblPr>
        <w:tblStyle w:val="28"/>
        <w:tblpPr w:leftFromText="180" w:rightFromText="180" w:vertAnchor="page" w:horzAnchor="margin" w:tblpXSpec="center" w:tblpY="2461"/>
        <w:tblW w:w="9286" w:type="dxa"/>
        <w:tblInd w:w="0" w:type="dxa"/>
        <w:tblLayout w:type="fixed"/>
        <w:tblCellMar>
          <w:top w:w="0" w:type="dxa"/>
          <w:left w:w="108" w:type="dxa"/>
          <w:bottom w:w="0" w:type="dxa"/>
          <w:right w:w="108" w:type="dxa"/>
        </w:tblCellMar>
      </w:tblPr>
      <w:tblGrid>
        <w:gridCol w:w="1448"/>
        <w:gridCol w:w="2086"/>
        <w:gridCol w:w="1575"/>
        <w:gridCol w:w="888"/>
        <w:gridCol w:w="314"/>
        <w:gridCol w:w="466"/>
        <w:gridCol w:w="1748"/>
        <w:gridCol w:w="761"/>
      </w:tblGrid>
      <w:tr>
        <w:tblPrEx>
          <w:tblCellMar>
            <w:top w:w="0" w:type="dxa"/>
            <w:left w:w="108" w:type="dxa"/>
            <w:bottom w:w="0" w:type="dxa"/>
            <w:right w:w="108" w:type="dxa"/>
          </w:tblCellMar>
        </w:tblPrEx>
        <w:trPr>
          <w:trHeight w:val="709" w:hRule="exact"/>
        </w:trPr>
        <w:tc>
          <w:tcPr>
            <w:tcW w:w="9286" w:type="dxa"/>
            <w:gridSpan w:val="8"/>
            <w:vAlign w:val="center"/>
          </w:tcPr>
          <w:p>
            <w:pPr>
              <w:pStyle w:val="89"/>
              <w:widowControl w:val="0"/>
              <w:autoSpaceDE w:val="0"/>
              <w:autoSpaceDN w:val="0"/>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w:t>
            </w:r>
            <w:r>
              <w:rPr>
                <w:rFonts w:hint="eastAsia" w:ascii="方正小标宋简体" w:hAnsi="宋体" w:eastAsia="方正小标宋简体"/>
                <w:bCs/>
                <w:sz w:val="44"/>
                <w:szCs w:val="44"/>
              </w:rPr>
              <w:t>区</w:t>
            </w:r>
            <w:r>
              <w:rPr>
                <w:rFonts w:hint="eastAsia" w:ascii="方正小标宋简体" w:hAnsi="宋体" w:eastAsia="方正小标宋简体"/>
                <w:sz w:val="44"/>
                <w:szCs w:val="44"/>
              </w:rPr>
              <w:t>基本情况表</w:t>
            </w: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滞洪区名称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南四湖湖东界郭片滞洪区</w:t>
            </w:r>
          </w:p>
        </w:tc>
        <w:tc>
          <w:tcPr>
            <w:tcW w:w="3416" w:type="dxa"/>
            <w:gridSpan w:val="4"/>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就地安置人口（人）</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0</w:t>
            </w: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兴建时间</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3416" w:type="dxa"/>
            <w:gridSpan w:val="4"/>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转移安置人口（人）</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65841</w:t>
            </w: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所在河流</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南四湖</w:t>
            </w:r>
          </w:p>
        </w:tc>
        <w:tc>
          <w:tcPr>
            <w:tcW w:w="1202"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通讯设施</w:t>
            </w:r>
          </w:p>
        </w:tc>
        <w:tc>
          <w:tcPr>
            <w:tcW w:w="46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所在市县</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滕州市</w:t>
            </w:r>
          </w:p>
        </w:tc>
        <w:tc>
          <w:tcPr>
            <w:tcW w:w="1202"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报警设施</w:t>
            </w:r>
          </w:p>
        </w:tc>
        <w:tc>
          <w:tcPr>
            <w:tcW w:w="46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379"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设计滞洪水位（米）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36.99</w:t>
            </w:r>
          </w:p>
        </w:tc>
        <w:tc>
          <w:tcPr>
            <w:tcW w:w="1668" w:type="dxa"/>
            <w:gridSpan w:val="3"/>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船只（只）</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629"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设计蓄洪洪量（亿立方米）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1.58</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撤退</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道路</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条数</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40</w:t>
            </w:r>
          </w:p>
        </w:tc>
      </w:tr>
      <w:tr>
        <w:tblPrEx>
          <w:tblCellMar>
            <w:top w:w="0" w:type="dxa"/>
            <w:left w:w="108" w:type="dxa"/>
            <w:bottom w:w="0" w:type="dxa"/>
            <w:right w:w="108" w:type="dxa"/>
          </w:tblCellMar>
        </w:tblPrEx>
        <w:trPr>
          <w:trHeight w:val="454"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蓄洪面积（平方公里）</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79.48</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长度（千米）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80.32</w:t>
            </w:r>
          </w:p>
        </w:tc>
      </w:tr>
      <w:tr>
        <w:tblPrEx>
          <w:tblCellMar>
            <w:top w:w="0" w:type="dxa"/>
            <w:left w:w="108" w:type="dxa"/>
            <w:bottom w:w="0" w:type="dxa"/>
            <w:right w:w="108" w:type="dxa"/>
          </w:tblCellMar>
        </w:tblPrEx>
        <w:trPr>
          <w:trHeight w:val="400"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耕地（亩）</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56767</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进洪闸</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名称</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54"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地面高程范围（米）</w:t>
            </w:r>
          </w:p>
        </w:tc>
        <w:tc>
          <w:tcPr>
            <w:tcW w:w="1575" w:type="dxa"/>
            <w:vAlign w:val="center"/>
          </w:tcPr>
          <w:p>
            <w:pPr>
              <w:pStyle w:val="89"/>
              <w:widowControl w:val="0"/>
              <w:autoSpaceDE w:val="0"/>
              <w:autoSpaceDN w:val="0"/>
              <w:spacing w:line="240" w:lineRule="exact"/>
              <w:jc w:val="center"/>
              <w:rPr>
                <w:rFonts w:hint="eastAsia" w:ascii="仿宋_GB2312" w:hAnsi="仿宋_GB2312" w:eastAsia="仿宋_GB2312"/>
                <w:szCs w:val="21"/>
              </w:rPr>
            </w:pPr>
            <w:r>
              <w:rPr>
                <w:rFonts w:hint="eastAsia" w:ascii="仿宋_GB2312" w:hAnsi="仿宋_GB2312" w:eastAsia="仿宋_GB2312"/>
                <w:szCs w:val="21"/>
              </w:rPr>
              <w:t>31.1—36.99</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分洪水位（米）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36.79</w:t>
            </w:r>
          </w:p>
        </w:tc>
      </w:tr>
      <w:tr>
        <w:tblPrEx>
          <w:tblCellMar>
            <w:top w:w="0" w:type="dxa"/>
            <w:left w:w="108" w:type="dxa"/>
            <w:bottom w:w="0" w:type="dxa"/>
            <w:right w:w="108" w:type="dxa"/>
          </w:tblCellMar>
        </w:tblPrEx>
        <w:trPr>
          <w:trHeight w:val="615"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运用几率</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设计流量</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（立方米/秒）</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600</w:t>
            </w:r>
          </w:p>
        </w:tc>
      </w:tr>
      <w:tr>
        <w:tblPrEx>
          <w:tblCellMar>
            <w:top w:w="0" w:type="dxa"/>
            <w:left w:w="108" w:type="dxa"/>
            <w:bottom w:w="0" w:type="dxa"/>
            <w:right w:w="108" w:type="dxa"/>
          </w:tblCellMar>
        </w:tblPrEx>
        <w:trPr>
          <w:trHeight w:val="45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涉及市域</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镇（个)</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退洪闸</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名称</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5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行政村（个）</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213</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退洪水位（米）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637"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人口（万人）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33.5</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设计流量</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（立方米/秒）</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575"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区内</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人口（万人）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6.5841</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行洪</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进洪口门</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口门位置</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5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行政村（个）</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44</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口门高程（米）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599"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安全区</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（保庄圩）</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安全区（处 ）</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口门宽度（米）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638"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围堰长（米）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退洪口门</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口门位置</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0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堤顶高程（米）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口门高程（米）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282"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安置人口（人）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口门宽度（米）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393"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安全楼（房）</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座楼</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668" w:type="dxa"/>
            <w:gridSpan w:val="3"/>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滞洪区堤防</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堤顶高程（米）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39.29</w:t>
            </w:r>
          </w:p>
        </w:tc>
      </w:tr>
      <w:tr>
        <w:tblPrEx>
          <w:tblCellMar>
            <w:top w:w="0" w:type="dxa"/>
            <w:left w:w="108" w:type="dxa"/>
            <w:bottom w:w="0" w:type="dxa"/>
            <w:right w:w="108" w:type="dxa"/>
          </w:tblCellMar>
        </w:tblPrEx>
        <w:trPr>
          <w:trHeight w:val="448"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pacing w:val="-20"/>
                <w:szCs w:val="21"/>
              </w:rPr>
            </w:pPr>
            <w:r>
              <w:rPr>
                <w:rFonts w:hint="eastAsia" w:ascii="仿宋_GB2312" w:hAnsi="宋体" w:eastAsia="仿宋_GB2312"/>
                <w:spacing w:val="-20"/>
                <w:szCs w:val="21"/>
              </w:rPr>
              <w:t>安全层面积（平方米）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堤长（米）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12960</w:t>
            </w:r>
          </w:p>
        </w:tc>
      </w:tr>
      <w:tr>
        <w:tblPrEx>
          <w:tblCellMar>
            <w:top w:w="0" w:type="dxa"/>
            <w:left w:w="108" w:type="dxa"/>
            <w:bottom w:w="0" w:type="dxa"/>
            <w:right w:w="108" w:type="dxa"/>
          </w:tblCellMar>
        </w:tblPrEx>
        <w:trPr>
          <w:trHeight w:val="42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安置人口（人）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堤顶宽（米)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w:t>
            </w:r>
          </w:p>
        </w:tc>
      </w:tr>
      <w:tr>
        <w:tblPrEx>
          <w:tblCellMar>
            <w:top w:w="0" w:type="dxa"/>
            <w:left w:w="108" w:type="dxa"/>
            <w:bottom w:w="0" w:type="dxa"/>
            <w:right w:w="108" w:type="dxa"/>
          </w:tblCellMar>
        </w:tblPrEx>
        <w:trPr>
          <w:trHeight w:val="342"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pacing w:val="-20"/>
                <w:szCs w:val="21"/>
              </w:rPr>
            </w:pPr>
            <w:r>
              <w:rPr>
                <w:rFonts w:hint="eastAsia" w:ascii="仿宋_GB2312" w:hAnsi="宋体" w:eastAsia="仿宋_GB2312"/>
                <w:spacing w:val="-20"/>
                <w:szCs w:val="21"/>
              </w:rPr>
              <w:t>安全台（庄台）</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座楼</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防洪标准</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50</w:t>
            </w:r>
          </w:p>
        </w:tc>
      </w:tr>
      <w:tr>
        <w:tblPrEx>
          <w:tblCellMar>
            <w:top w:w="0" w:type="dxa"/>
            <w:left w:w="108" w:type="dxa"/>
            <w:bottom w:w="0" w:type="dxa"/>
            <w:right w:w="108" w:type="dxa"/>
          </w:tblCellMar>
        </w:tblPrEx>
        <w:trPr>
          <w:trHeight w:val="372"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高程（米）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备注：</w:t>
            </w:r>
          </w:p>
        </w:tc>
        <w:tc>
          <w:tcPr>
            <w:tcW w:w="780" w:type="dxa"/>
            <w:gridSpan w:val="2"/>
            <w:tcBorders>
              <w:top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20"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面积（平方米）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lef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26" w:hRule="exact"/>
        </w:trPr>
        <w:tc>
          <w:tcPr>
            <w:tcW w:w="1448" w:type="dxa"/>
            <w:tcBorders>
              <w:top w:val="single" w:color="auto" w:sz="6" w:space="0"/>
              <w:left w:val="single" w:color="auto" w:sz="6" w:space="0"/>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安置人口（人）</w:t>
            </w:r>
          </w:p>
        </w:tc>
        <w:tc>
          <w:tcPr>
            <w:tcW w:w="1575" w:type="dxa"/>
            <w:tcBorders>
              <w:top w:val="single" w:color="auto" w:sz="6" w:space="0"/>
              <w:left w:val="single" w:color="auto" w:sz="6" w:space="0"/>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left w:val="single" w:color="auto" w:sz="6" w:space="0"/>
              <w:bottom w:val="single" w:color="auto" w:sz="4"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bottom w:val="single" w:color="auto" w:sz="4"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bottom w:val="single" w:color="auto" w:sz="4"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bl>
    <w:p>
      <w:pPr>
        <w:adjustRightInd w:val="0"/>
        <w:snapToGrid w:val="0"/>
        <w:spacing w:line="600" w:lineRule="exact"/>
        <w:rPr>
          <w:rFonts w:hint="eastAsia" w:ascii="黑体" w:hAnsi="黑体" w:eastAsia="黑体"/>
          <w:bCs/>
          <w:sz w:val="32"/>
          <w:szCs w:val="32"/>
        </w:rPr>
      </w:pPr>
      <w:r>
        <w:rPr>
          <w:rFonts w:hint="eastAsia" w:ascii="黑体" w:hAnsi="黑体" w:eastAsia="黑体"/>
          <w:bCs/>
          <w:sz w:val="32"/>
          <w:szCs w:val="32"/>
        </w:rPr>
        <w:t>附表1</w:t>
      </w:r>
    </w:p>
    <w:p>
      <w:pPr>
        <w:widowControl/>
        <w:spacing w:line="600" w:lineRule="exact"/>
        <w:jc w:val="left"/>
        <w:rPr>
          <w:rFonts w:hint="eastAsia" w:ascii="黑体" w:hAnsi="黑体" w:eastAsia="黑体"/>
          <w:sz w:val="32"/>
          <w:szCs w:val="32"/>
        </w:rPr>
      </w:pPr>
      <w:r>
        <w:rPr>
          <w:rFonts w:hint="eastAsia" w:ascii="黑体" w:hAnsi="黑体" w:eastAsia="黑体"/>
          <w:sz w:val="32"/>
          <w:szCs w:val="32"/>
        </w:rPr>
        <w:t>附表2</w:t>
      </w:r>
    </w:p>
    <w:p>
      <w:pPr>
        <w:widowControl/>
        <w:spacing w:line="60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滞洪区社会经济统计表</w:t>
      </w:r>
    </w:p>
    <w:tbl>
      <w:tblPr>
        <w:tblStyle w:val="28"/>
        <w:tblW w:w="9808" w:type="dxa"/>
        <w:jc w:val="center"/>
        <w:tblLayout w:type="fixed"/>
        <w:tblCellMar>
          <w:top w:w="0" w:type="dxa"/>
          <w:left w:w="108" w:type="dxa"/>
          <w:bottom w:w="0" w:type="dxa"/>
          <w:right w:w="108" w:type="dxa"/>
        </w:tblCellMar>
      </w:tblPr>
      <w:tblGrid>
        <w:gridCol w:w="510"/>
        <w:gridCol w:w="568"/>
        <w:gridCol w:w="850"/>
        <w:gridCol w:w="992"/>
        <w:gridCol w:w="851"/>
        <w:gridCol w:w="992"/>
        <w:gridCol w:w="992"/>
        <w:gridCol w:w="993"/>
        <w:gridCol w:w="992"/>
        <w:gridCol w:w="992"/>
        <w:gridCol w:w="1076"/>
      </w:tblGrid>
      <w:tr>
        <w:tblPrEx>
          <w:tblCellMar>
            <w:top w:w="0" w:type="dxa"/>
            <w:left w:w="108" w:type="dxa"/>
            <w:bottom w:w="0" w:type="dxa"/>
            <w:right w:w="108" w:type="dxa"/>
          </w:tblCellMar>
        </w:tblPrEx>
        <w:trPr>
          <w:trHeight w:val="945" w:hRule="atLeast"/>
          <w:jc w:val="center"/>
        </w:trPr>
        <w:tc>
          <w:tcPr>
            <w:tcW w:w="5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序号</w:t>
            </w:r>
          </w:p>
        </w:tc>
        <w:tc>
          <w:tcPr>
            <w:tcW w:w="568"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镇名称</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村庄（个）</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区内</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人口（人）</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牲畜（只)</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耕地</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面积</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（亩）</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粮食年产量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993"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油年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棉年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渔年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107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林年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spacing w:val="-20"/>
                <w:kern w:val="0"/>
                <w:szCs w:val="21"/>
              </w:rPr>
              <w:t>（立方米）</w:t>
            </w:r>
          </w:p>
        </w:tc>
      </w:tr>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bookmarkStart w:id="37" w:name="OLE_LINK3" w:colFirst="3" w:colLast="3"/>
            <w:r>
              <w:rPr>
                <w:rFonts w:hint="eastAsia" w:ascii="仿宋_GB2312" w:hAnsi="宋体" w:eastAsia="仿宋_GB2312" w:cs="宋体"/>
                <w:kern w:val="0"/>
                <w:szCs w:val="21"/>
              </w:rPr>
              <w:t>1</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西岗镇</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12605</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81446</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9141</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1006万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212万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24000</w:t>
            </w:r>
          </w:p>
        </w:tc>
      </w:tr>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滨湖镇</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33</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39530</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547973</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36164</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3446万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33万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6.6万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748万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358890</w:t>
            </w:r>
          </w:p>
        </w:tc>
      </w:tr>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级索镇</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13706</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39250</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11462</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1112万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2.3万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241万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32142</w:t>
            </w:r>
          </w:p>
        </w:tc>
      </w:tr>
      <w:bookmarkEnd w:id="37"/>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合计</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44</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65841</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668669</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56767</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5564万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49万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10.9万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1201万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417032</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重要企业</w:t>
            </w:r>
          </w:p>
        </w:tc>
        <w:tc>
          <w:tcPr>
            <w:tcW w:w="7880" w:type="dxa"/>
            <w:gridSpan w:val="8"/>
            <w:tcBorders>
              <w:top w:val="nil"/>
              <w:left w:val="nil"/>
              <w:bottom w:val="single" w:color="000000" w:sz="4" w:space="0"/>
              <w:right w:val="single" w:color="000000" w:sz="4" w:space="0"/>
            </w:tcBorders>
            <w:vAlign w:val="center"/>
          </w:tcPr>
          <w:p>
            <w:pPr>
              <w:widowControl/>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滕州港、新奥化工厂、宏大港、滨湖煤矿、朝阳煤矿、北徐楼煤矿、运河湖产品公司、西马蛋制品厂、塑料厂、废品收购站</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重要道路</w:t>
            </w:r>
          </w:p>
        </w:tc>
        <w:tc>
          <w:tcPr>
            <w:tcW w:w="7880" w:type="dxa"/>
            <w:gridSpan w:val="8"/>
            <w:tcBorders>
              <w:top w:val="nil"/>
              <w:left w:val="nil"/>
              <w:bottom w:val="single" w:color="000000" w:sz="4" w:space="0"/>
              <w:right w:val="single" w:color="000000" w:sz="4" w:space="0"/>
            </w:tcBorders>
            <w:vAlign w:val="center"/>
          </w:tcPr>
          <w:p>
            <w:pPr>
              <w:widowControl/>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富民路、徐楼—四合路、岗头—下王路、望庄三八路、滕港路、济微路、级索南平行路、北留路、笃西路3公里，村村通及村内硬化180公里，辛安运煤专线</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重要桥梁</w:t>
            </w:r>
          </w:p>
        </w:tc>
        <w:tc>
          <w:tcPr>
            <w:tcW w:w="7880" w:type="dxa"/>
            <w:gridSpan w:val="8"/>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后王晁大桥</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农业总产值（万元）</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61850</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工业总产值（万元）</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166216</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固定资产总值（万元）</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88921</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经济发展模式</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产业结构形式</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以农业、畜牧业为主，工业、服务业协调发展</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人均年收入</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10500</w:t>
            </w:r>
          </w:p>
        </w:tc>
      </w:tr>
    </w:tbl>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left"/>
        <w:rPr>
          <w:rFonts w:hint="eastAsia" w:ascii="黑体" w:hAnsi="黑体" w:eastAsia="黑体"/>
          <w:sz w:val="32"/>
          <w:szCs w:val="32"/>
        </w:rPr>
      </w:pPr>
      <w:r>
        <w:rPr>
          <w:rFonts w:hint="eastAsia" w:ascii="黑体" w:hAnsi="黑体" w:eastAsia="黑体"/>
          <w:sz w:val="32"/>
          <w:szCs w:val="32"/>
        </w:rPr>
        <w:t>附表3</w:t>
      </w:r>
    </w:p>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滞洪区历年运用情况统计表</w:t>
      </w:r>
    </w:p>
    <w:tbl>
      <w:tblPr>
        <w:tblStyle w:val="28"/>
        <w:tblW w:w="9286" w:type="dxa"/>
        <w:jc w:val="center"/>
        <w:tblLayout w:type="fixed"/>
        <w:tblCellMar>
          <w:top w:w="0" w:type="dxa"/>
          <w:left w:w="108" w:type="dxa"/>
          <w:bottom w:w="0" w:type="dxa"/>
          <w:right w:w="108" w:type="dxa"/>
        </w:tblCellMar>
      </w:tblPr>
      <w:tblGrid>
        <w:gridCol w:w="493"/>
        <w:gridCol w:w="686"/>
        <w:gridCol w:w="1480"/>
        <w:gridCol w:w="1134"/>
        <w:gridCol w:w="1418"/>
        <w:gridCol w:w="1134"/>
        <w:gridCol w:w="893"/>
        <w:gridCol w:w="950"/>
        <w:gridCol w:w="1098"/>
      </w:tblGrid>
      <w:tr>
        <w:tblPrEx>
          <w:tblCellMar>
            <w:top w:w="0" w:type="dxa"/>
            <w:left w:w="108" w:type="dxa"/>
            <w:bottom w:w="0" w:type="dxa"/>
            <w:right w:w="108" w:type="dxa"/>
          </w:tblCellMar>
        </w:tblPrEx>
        <w:trPr>
          <w:trHeight w:val="1305" w:hRule="atLeast"/>
          <w:jc w:val="center"/>
        </w:trPr>
        <w:tc>
          <w:tcPr>
            <w:tcW w:w="4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年份</w:t>
            </w:r>
          </w:p>
        </w:tc>
        <w:tc>
          <w:tcPr>
            <w:tcW w:w="68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滞洪次数</w:t>
            </w:r>
          </w:p>
        </w:tc>
        <w:tc>
          <w:tcPr>
            <w:tcW w:w="14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最大进洪流量（立方米/秒）</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最高滞洪水位（米）</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相应滞洪量（亿立方米）</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滞洪历时（小时）</w:t>
            </w:r>
          </w:p>
        </w:tc>
        <w:tc>
          <w:tcPr>
            <w:tcW w:w="29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受灾情况</w:t>
            </w:r>
          </w:p>
        </w:tc>
      </w:tr>
      <w:tr>
        <w:tblPrEx>
          <w:tblCellMar>
            <w:top w:w="0" w:type="dxa"/>
            <w:left w:w="108" w:type="dxa"/>
            <w:bottom w:w="0" w:type="dxa"/>
            <w:right w:w="108" w:type="dxa"/>
          </w:tblCellMar>
        </w:tblPrEx>
        <w:trPr>
          <w:trHeight w:val="675" w:hRule="atLeast"/>
          <w:jc w:val="center"/>
        </w:trPr>
        <w:tc>
          <w:tcPr>
            <w:tcW w:w="4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4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耕地（亩）</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人口（人）</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财产损失（万元）</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bl>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widowControl/>
        <w:spacing w:line="600" w:lineRule="exact"/>
        <w:jc w:val="left"/>
        <w:rPr>
          <w:rFonts w:hint="eastAsia" w:ascii="黑体" w:hAnsi="黑体" w:eastAsia="黑体"/>
          <w:sz w:val="32"/>
          <w:szCs w:val="32"/>
        </w:rPr>
      </w:pPr>
      <w:r>
        <w:rPr>
          <w:rFonts w:hint="eastAsia" w:ascii="黑体" w:hAnsi="黑体" w:eastAsia="黑体"/>
          <w:sz w:val="32"/>
          <w:szCs w:val="32"/>
        </w:rPr>
        <w:t>附表4</w:t>
      </w:r>
    </w:p>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滞洪区居民就地安置与转移安置计划表</w:t>
      </w:r>
    </w:p>
    <w:tbl>
      <w:tblPr>
        <w:tblStyle w:val="28"/>
        <w:tblW w:w="95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1"/>
        <w:gridCol w:w="851"/>
        <w:gridCol w:w="905"/>
        <w:gridCol w:w="703"/>
        <w:gridCol w:w="753"/>
        <w:gridCol w:w="753"/>
        <w:gridCol w:w="861"/>
        <w:gridCol w:w="1040"/>
        <w:gridCol w:w="1276"/>
        <w:gridCol w:w="1134"/>
        <w:gridCol w:w="8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43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序号</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镇</w:t>
            </w:r>
          </w:p>
          <w:p>
            <w:pPr>
              <w:widowControl/>
              <w:spacing w:line="240" w:lineRule="exact"/>
              <w:jc w:val="center"/>
              <w:rPr>
                <w:rFonts w:hint="eastAsia" w:ascii="仿宋_GB2312" w:hAnsi="宋体" w:eastAsia="仿宋_GB2312" w:cs="宋体"/>
                <w:b/>
                <w:spacing w:val="-20"/>
                <w:kern w:val="0"/>
                <w:szCs w:val="21"/>
              </w:rPr>
            </w:pPr>
            <w:r>
              <w:rPr>
                <w:rFonts w:hint="eastAsia" w:ascii="仿宋_GB2312" w:hAnsi="宋体" w:eastAsia="仿宋_GB2312" w:cs="宋体"/>
                <w:b/>
                <w:spacing w:val="-20"/>
                <w:kern w:val="0"/>
                <w:szCs w:val="21"/>
              </w:rPr>
              <w:t>（农场）</w:t>
            </w:r>
          </w:p>
        </w:tc>
        <w:tc>
          <w:tcPr>
            <w:tcW w:w="905"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村</w:t>
            </w:r>
          </w:p>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（分队）</w:t>
            </w:r>
          </w:p>
        </w:tc>
        <w:tc>
          <w:tcPr>
            <w:tcW w:w="70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区内人口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就地安置人口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转移安置人口</w:t>
            </w:r>
          </w:p>
        </w:tc>
        <w:tc>
          <w:tcPr>
            <w:tcW w:w="86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转移牲畜数量</w:t>
            </w:r>
          </w:p>
        </w:tc>
        <w:tc>
          <w:tcPr>
            <w:tcW w:w="1040"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其他重</w:t>
            </w:r>
          </w:p>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要财产</w:t>
            </w:r>
          </w:p>
        </w:tc>
        <w:tc>
          <w:tcPr>
            <w:tcW w:w="1276"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转移方式</w:t>
            </w:r>
          </w:p>
        </w:tc>
        <w:tc>
          <w:tcPr>
            <w:tcW w:w="1134"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转移安置地点</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负责人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bookmarkStart w:id="38" w:name="OLE_LINK12" w:colFirst="3" w:colLast="6"/>
            <w:bookmarkStart w:id="39" w:name="OLE_LINK16" w:colFirst="3" w:colLast="3"/>
            <w:bookmarkStart w:id="40" w:name="OLE_LINK2" w:colFirst="5" w:colLast="5"/>
            <w:r>
              <w:rPr>
                <w:rFonts w:hint="eastAsia" w:ascii="仿宋_GB2312" w:hAnsi="宋体" w:eastAsia="仿宋_GB2312" w:cs="宋体"/>
                <w:kern w:val="0"/>
                <w:szCs w:val="21"/>
              </w:rPr>
              <w:t>1</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滨</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湖</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滨湖镇</w:t>
            </w:r>
          </w:p>
          <w:p>
            <w:pPr>
              <w:widowControl/>
              <w:spacing w:line="0" w:lineRule="atLeast"/>
              <w:jc w:val="center"/>
              <w:rPr>
                <w:rFonts w:hint="eastAsia" w:ascii="仿宋_GB2312" w:hAnsi="宋体" w:eastAsia="仿宋_GB2312" w:cs="宋体"/>
                <w:kern w:val="0"/>
                <w:szCs w:val="21"/>
              </w:rPr>
            </w:pPr>
          </w:p>
          <w:p>
            <w:pPr>
              <w:spacing w:line="0" w:lineRule="atLeast"/>
              <w:jc w:val="left"/>
              <w:rPr>
                <w:rFonts w:hint="eastAsia" w:ascii="仿宋_GB2312" w:hAnsi="宋体" w:eastAsia="仿宋_GB2312" w:cs="宋体"/>
                <w:kern w:val="0"/>
                <w:szCs w:val="21"/>
              </w:rPr>
            </w:pPr>
            <w:r>
              <w:rPr>
                <w:rFonts w:hint="eastAsia" w:ascii="仿宋_GB2312" w:hAnsi="宋体" w:eastAsia="仿宋_GB2312" w:cs="宋体"/>
                <w:kern w:val="0"/>
                <w:szCs w:val="21"/>
              </w:rPr>
              <w:t>滨湖镇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下王庄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464</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464</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15500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王慎备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李仓</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336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336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18231</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李怀香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北焦村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1167</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1167</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31400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马彦武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东屯前</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649</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649</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5786</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吴  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东屯后</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415</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415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4221</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吴士相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稻屯</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1138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1138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10698</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刘  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西屯</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855</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855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8695</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崔长平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徐楼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1570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1570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15629</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李书德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黄桥</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30972</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陈忠华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奎子东</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1346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1346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11730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孙希平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奎子西</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12429</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孙彦标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东焦村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1880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1880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4040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马加军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西焦村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3970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马加合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人民庄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317</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317</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1954</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段成宪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563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563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875</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王介强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胡路口</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598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598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20308</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胡勤桥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滕州港</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230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230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张  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西盖村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1780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1780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42220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王延武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后盖村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137977</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王延峰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秦庄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873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218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1012</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秦存河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21</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东盖村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1976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1976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28300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王慎环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赫村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1006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1006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647</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王慎岭</w:t>
            </w:r>
          </w:p>
        </w:tc>
      </w:tr>
      <w:bookmarkEnd w:id="38"/>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tcBorders>
              <w:top w:val="single" w:color="auto" w:sz="6" w:space="0"/>
              <w:left w:val="single" w:color="auto" w:sz="4"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23</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严村</w:t>
            </w:r>
          </w:p>
        </w:tc>
        <w:tc>
          <w:tcPr>
            <w:tcW w:w="70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1164</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1164</w:t>
            </w:r>
          </w:p>
        </w:tc>
        <w:tc>
          <w:tcPr>
            <w:tcW w:w="861"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16501</w:t>
            </w:r>
          </w:p>
        </w:tc>
        <w:tc>
          <w:tcPr>
            <w:tcW w:w="104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望庄村</w:t>
            </w:r>
          </w:p>
        </w:tc>
        <w:tc>
          <w:tcPr>
            <w:tcW w:w="851" w:type="dxa"/>
            <w:tcBorders>
              <w:top w:val="single" w:color="auto" w:sz="6" w:space="0"/>
              <w:left w:val="single" w:color="auto" w:sz="6" w:space="0"/>
              <w:bottom w:val="single" w:color="auto" w:sz="6" w:space="0"/>
              <w:right w:val="single" w:color="auto" w:sz="4"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严位海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tcBorders>
              <w:top w:val="single" w:color="auto" w:sz="6" w:space="0"/>
              <w:left w:val="single" w:color="auto" w:sz="4"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东周村</w:t>
            </w:r>
          </w:p>
        </w:tc>
        <w:tc>
          <w:tcPr>
            <w:tcW w:w="70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580</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580</w:t>
            </w:r>
          </w:p>
        </w:tc>
        <w:tc>
          <w:tcPr>
            <w:tcW w:w="861"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223</w:t>
            </w:r>
          </w:p>
        </w:tc>
        <w:tc>
          <w:tcPr>
            <w:tcW w:w="104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望庄</w:t>
            </w:r>
          </w:p>
        </w:tc>
        <w:tc>
          <w:tcPr>
            <w:tcW w:w="851" w:type="dxa"/>
            <w:tcBorders>
              <w:top w:val="single" w:color="auto" w:sz="6" w:space="0"/>
              <w:left w:val="single" w:color="auto" w:sz="6" w:space="0"/>
              <w:bottom w:val="single" w:color="auto" w:sz="6" w:space="0"/>
              <w:right w:val="single" w:color="auto" w:sz="4"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周传金</w:t>
            </w:r>
          </w:p>
        </w:tc>
      </w:tr>
    </w:tbl>
    <w:p>
      <w:bookmarkStart w:id="41" w:name="OLE_LINK13" w:colFirst="3" w:colLast="6"/>
    </w:p>
    <w:bookmarkEnd w:id="39"/>
    <w:bookmarkEnd w:id="40"/>
    <w:bookmarkEnd w:id="41"/>
    <w:tbl>
      <w:tblPr>
        <w:tblStyle w:val="28"/>
        <w:tblpPr w:leftFromText="180" w:rightFromText="180" w:vertAnchor="page" w:horzAnchor="margin" w:tblpXSpec="center" w:tblpY="1741"/>
        <w:tblW w:w="960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1"/>
        <w:gridCol w:w="851"/>
        <w:gridCol w:w="905"/>
        <w:gridCol w:w="703"/>
        <w:gridCol w:w="753"/>
        <w:gridCol w:w="753"/>
        <w:gridCol w:w="861"/>
        <w:gridCol w:w="1088"/>
        <w:gridCol w:w="1276"/>
        <w:gridCol w:w="1134"/>
        <w:gridCol w:w="8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7" w:hRule="exact"/>
        </w:trPr>
        <w:tc>
          <w:tcPr>
            <w:tcW w:w="43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序号</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镇</w:t>
            </w:r>
          </w:p>
          <w:p>
            <w:pPr>
              <w:widowControl/>
              <w:spacing w:line="240" w:lineRule="exact"/>
              <w:jc w:val="center"/>
              <w:rPr>
                <w:rFonts w:hint="eastAsia" w:ascii="仿宋_GB2312" w:hAnsi="宋体" w:eastAsia="仿宋_GB2312" w:cs="宋体"/>
                <w:b/>
                <w:spacing w:val="-20"/>
                <w:kern w:val="0"/>
                <w:szCs w:val="21"/>
              </w:rPr>
            </w:pPr>
            <w:r>
              <w:rPr>
                <w:rFonts w:hint="eastAsia" w:ascii="仿宋_GB2312" w:hAnsi="宋体" w:eastAsia="仿宋_GB2312" w:cs="宋体"/>
                <w:b/>
                <w:spacing w:val="-20"/>
                <w:kern w:val="0"/>
                <w:szCs w:val="21"/>
              </w:rPr>
              <w:t>（农场）</w:t>
            </w:r>
          </w:p>
        </w:tc>
        <w:tc>
          <w:tcPr>
            <w:tcW w:w="905"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村</w:t>
            </w:r>
          </w:p>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（分队）</w:t>
            </w:r>
          </w:p>
        </w:tc>
        <w:tc>
          <w:tcPr>
            <w:tcW w:w="70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区内人口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就地安置人口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转移安置人口</w:t>
            </w:r>
          </w:p>
        </w:tc>
        <w:tc>
          <w:tcPr>
            <w:tcW w:w="86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转移牲畜数量</w:t>
            </w:r>
          </w:p>
        </w:tc>
        <w:tc>
          <w:tcPr>
            <w:tcW w:w="1088"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其他重</w:t>
            </w:r>
          </w:p>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要财产</w:t>
            </w:r>
          </w:p>
        </w:tc>
        <w:tc>
          <w:tcPr>
            <w:tcW w:w="1276"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转移方式</w:t>
            </w:r>
          </w:p>
        </w:tc>
        <w:tc>
          <w:tcPr>
            <w:tcW w:w="1134"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转移安置地点</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负责人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25</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滨</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湖</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胡楼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773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张贵连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26</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西周</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1098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1098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258</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周生超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27</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中辛安</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1082</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1082</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586</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周  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28</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西辛安</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703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王书镶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29</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后辛安</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1334</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1334</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503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王莹昌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30</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东马村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1636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1636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685</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马昭凯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吕堂</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1143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1143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444</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王洪文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32</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西马村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1778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1778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673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马洪岗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33</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新村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1727</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1727</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667</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陈楼</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孟祥连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34</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徐家楼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3876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3876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4461</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陈楼</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马  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小计</w:t>
            </w:r>
          </w:p>
        </w:tc>
        <w:tc>
          <w:tcPr>
            <w:tcW w:w="703" w:type="dxa"/>
            <w:vAlign w:val="center"/>
          </w:tcPr>
          <w:p>
            <w:pPr>
              <w:jc w:val="center"/>
              <w:rPr>
                <w:b/>
                <w:sz w:val="18"/>
                <w:szCs w:val="18"/>
              </w:rPr>
            </w:pPr>
            <w:r>
              <w:rPr>
                <w:b/>
                <w:sz w:val="18"/>
                <w:szCs w:val="18"/>
              </w:rPr>
              <w:t>39530</w:t>
            </w:r>
          </w:p>
        </w:tc>
        <w:tc>
          <w:tcPr>
            <w:tcW w:w="753" w:type="dxa"/>
            <w:vAlign w:val="center"/>
          </w:tcPr>
          <w:p>
            <w:pPr>
              <w:jc w:val="center"/>
              <w:rPr>
                <w:b/>
                <w:sz w:val="18"/>
                <w:szCs w:val="18"/>
              </w:rPr>
            </w:pPr>
          </w:p>
        </w:tc>
        <w:tc>
          <w:tcPr>
            <w:tcW w:w="753" w:type="dxa"/>
            <w:vAlign w:val="center"/>
          </w:tcPr>
          <w:p>
            <w:pPr>
              <w:jc w:val="center"/>
              <w:rPr>
                <w:rFonts w:hint="eastAsia"/>
                <w:b/>
                <w:sz w:val="18"/>
                <w:szCs w:val="18"/>
              </w:rPr>
            </w:pPr>
            <w:r>
              <w:rPr>
                <w:rFonts w:hint="eastAsia"/>
                <w:b/>
                <w:sz w:val="18"/>
                <w:szCs w:val="18"/>
              </w:rPr>
              <w:t>39530</w:t>
            </w:r>
          </w:p>
        </w:tc>
        <w:tc>
          <w:tcPr>
            <w:tcW w:w="861" w:type="dxa"/>
            <w:vAlign w:val="center"/>
          </w:tcPr>
          <w:p>
            <w:pPr>
              <w:jc w:val="center"/>
              <w:rPr>
                <w:b/>
                <w:sz w:val="18"/>
                <w:szCs w:val="18"/>
              </w:rPr>
            </w:pPr>
            <w:r>
              <w:rPr>
                <w:b/>
                <w:sz w:val="18"/>
                <w:szCs w:val="18"/>
              </w:rPr>
              <w:t>433071</w:t>
            </w:r>
          </w:p>
        </w:tc>
        <w:tc>
          <w:tcPr>
            <w:tcW w:w="1088" w:type="dxa"/>
            <w:vAlign w:val="center"/>
          </w:tcPr>
          <w:p>
            <w:pPr>
              <w:widowControl/>
              <w:spacing w:line="0" w:lineRule="atLeast"/>
              <w:jc w:val="center"/>
              <w:rPr>
                <w:rFonts w:hint="eastAsia" w:ascii="仿宋_GB2312" w:hAnsi="宋体" w:eastAsia="仿宋_GB2312" w:cs="宋体"/>
                <w:b/>
                <w:kern w:val="0"/>
                <w:szCs w:val="21"/>
              </w:rPr>
            </w:pPr>
          </w:p>
        </w:tc>
        <w:tc>
          <w:tcPr>
            <w:tcW w:w="1276" w:type="dxa"/>
            <w:vAlign w:val="center"/>
          </w:tcPr>
          <w:p>
            <w:pPr>
              <w:widowControl/>
              <w:spacing w:line="0" w:lineRule="atLeast"/>
              <w:jc w:val="center"/>
              <w:rPr>
                <w:rFonts w:hint="eastAsia" w:ascii="仿宋_GB2312" w:hAnsi="宋体" w:eastAsia="仿宋_GB2312" w:cs="宋体"/>
                <w:b/>
                <w:kern w:val="0"/>
                <w:szCs w:val="21"/>
              </w:rPr>
            </w:pPr>
          </w:p>
        </w:tc>
        <w:tc>
          <w:tcPr>
            <w:tcW w:w="1134" w:type="dxa"/>
            <w:vAlign w:val="center"/>
          </w:tcPr>
          <w:p>
            <w:pPr>
              <w:widowControl/>
              <w:spacing w:line="0" w:lineRule="atLeast"/>
              <w:jc w:val="center"/>
              <w:rPr>
                <w:rFonts w:hint="eastAsia" w:ascii="仿宋_GB2312" w:hAnsi="宋体" w:eastAsia="仿宋_GB2312" w:cs="宋体"/>
                <w:b/>
                <w:spacing w:val="-10"/>
                <w:kern w:val="0"/>
                <w:szCs w:val="21"/>
              </w:rPr>
            </w:pPr>
          </w:p>
        </w:tc>
        <w:tc>
          <w:tcPr>
            <w:tcW w:w="851" w:type="dxa"/>
            <w:vAlign w:val="center"/>
          </w:tcPr>
          <w:p>
            <w:pPr>
              <w:widowControl/>
              <w:spacing w:line="0" w:lineRule="atLeast"/>
              <w:rPr>
                <w:rFonts w:hint="eastAsia"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bookmarkStart w:id="42" w:name="OLE_LINK14" w:colFirst="3" w:colLast="6"/>
            <w:r>
              <w:rPr>
                <w:rFonts w:hint="eastAsia" w:ascii="仿宋_GB2312" w:hAnsi="宋体" w:eastAsia="仿宋_GB2312" w:cs="宋体"/>
                <w:kern w:val="0"/>
                <w:szCs w:val="21"/>
              </w:rPr>
              <w:t>35</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级</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索</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后王晁</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5255</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5255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50000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陈洪丰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36</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瞿庄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1165</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900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瞿清言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37</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6350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6350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550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胡修平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38</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羊二庄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936</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936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200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满其泉</w:t>
            </w:r>
          </w:p>
        </w:tc>
      </w:tr>
      <w:bookmarkEnd w:id="42"/>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 w:val="18"/>
                <w:szCs w:val="18"/>
              </w:rPr>
            </w:pPr>
            <w:r>
              <w:rPr>
                <w:rFonts w:hint="eastAsia"/>
                <w:b/>
                <w:sz w:val="18"/>
                <w:szCs w:val="18"/>
              </w:rPr>
              <w:t>小计</w:t>
            </w:r>
          </w:p>
        </w:tc>
        <w:tc>
          <w:tcPr>
            <w:tcW w:w="703" w:type="dxa"/>
            <w:vAlign w:val="center"/>
          </w:tcPr>
          <w:p>
            <w:pPr>
              <w:jc w:val="center"/>
              <w:rPr>
                <w:b/>
                <w:sz w:val="18"/>
                <w:szCs w:val="18"/>
              </w:rPr>
            </w:pPr>
            <w:r>
              <w:rPr>
                <w:b/>
                <w:sz w:val="18"/>
                <w:szCs w:val="18"/>
              </w:rPr>
              <w:t>13706</w:t>
            </w:r>
          </w:p>
        </w:tc>
        <w:tc>
          <w:tcPr>
            <w:tcW w:w="753" w:type="dxa"/>
            <w:vAlign w:val="center"/>
          </w:tcPr>
          <w:p>
            <w:pPr>
              <w:jc w:val="center"/>
              <w:rPr>
                <w:b/>
                <w:sz w:val="18"/>
                <w:szCs w:val="18"/>
              </w:rPr>
            </w:pPr>
          </w:p>
        </w:tc>
        <w:tc>
          <w:tcPr>
            <w:tcW w:w="753" w:type="dxa"/>
            <w:vAlign w:val="center"/>
          </w:tcPr>
          <w:p>
            <w:pPr>
              <w:jc w:val="center"/>
              <w:rPr>
                <w:b/>
                <w:sz w:val="18"/>
                <w:szCs w:val="18"/>
              </w:rPr>
            </w:pPr>
            <w:r>
              <w:rPr>
                <w:b/>
                <w:sz w:val="18"/>
                <w:szCs w:val="18"/>
              </w:rPr>
              <w:t>13706</w:t>
            </w:r>
          </w:p>
        </w:tc>
        <w:tc>
          <w:tcPr>
            <w:tcW w:w="861" w:type="dxa"/>
            <w:vAlign w:val="center"/>
          </w:tcPr>
          <w:p>
            <w:pPr>
              <w:jc w:val="center"/>
              <w:rPr>
                <w:b/>
                <w:sz w:val="18"/>
                <w:szCs w:val="18"/>
              </w:rPr>
            </w:pPr>
            <w:r>
              <w:rPr>
                <w:b/>
                <w:sz w:val="18"/>
                <w:szCs w:val="18"/>
              </w:rPr>
              <w:t>51650</w:t>
            </w:r>
          </w:p>
        </w:tc>
        <w:tc>
          <w:tcPr>
            <w:tcW w:w="1088" w:type="dxa"/>
            <w:vAlign w:val="center"/>
          </w:tcPr>
          <w:p>
            <w:pPr>
              <w:widowControl/>
              <w:spacing w:line="0" w:lineRule="atLeast"/>
              <w:jc w:val="center"/>
              <w:rPr>
                <w:rFonts w:hint="eastAsia" w:ascii="仿宋_GB2312" w:hAnsi="宋体" w:eastAsia="仿宋_GB2312" w:cs="宋体"/>
                <w:b/>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p>
        </w:tc>
        <w:tc>
          <w:tcPr>
            <w:tcW w:w="851" w:type="dxa"/>
            <w:vAlign w:val="center"/>
          </w:tcPr>
          <w:p>
            <w:pPr>
              <w:widowControl/>
              <w:spacing w:line="0" w:lineRule="atLeast"/>
              <w:jc w:val="center"/>
              <w:rPr>
                <w:rFonts w:hint="eastAsia"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bookmarkStart w:id="43" w:name="OLE_LINK15" w:colFirst="3" w:colLast="6"/>
            <w:r>
              <w:rPr>
                <w:rFonts w:hint="eastAsia" w:ascii="仿宋_GB2312" w:hAnsi="宋体" w:eastAsia="仿宋_GB2312" w:cs="宋体"/>
                <w:kern w:val="0"/>
                <w:szCs w:val="21"/>
              </w:rPr>
              <w:t>39</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西</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岗</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邓集</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1964</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1964</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3200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殷宪义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半楼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1013</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1013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4000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魏希永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41</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段庄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2418</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2418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19656</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邱家文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1"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42</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20"/>
                <w:kern w:val="0"/>
                <w:szCs w:val="21"/>
              </w:rPr>
              <w:t>姜</w:t>
            </w:r>
            <w:r>
              <w:rPr>
                <w:rFonts w:hint="eastAsia" w:ascii="宋体" w:hAnsi="宋体" w:cs="宋体"/>
                <w:spacing w:val="-20"/>
                <w:kern w:val="0"/>
                <w:szCs w:val="21"/>
              </w:rPr>
              <w:t>桥</w:t>
            </w:r>
            <w:r>
              <w:rPr>
                <w:rFonts w:hint="eastAsia" w:ascii="仿宋_GB2312" w:hAnsi="宋体" w:eastAsia="仿宋_GB2312" w:cs="宋体"/>
                <w:spacing w:val="-20"/>
                <w:kern w:val="0"/>
                <w:szCs w:val="21"/>
              </w:rPr>
              <w:t>（费庄）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3460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3460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24000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孙友志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43</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李庄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1680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1680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2690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李英善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44</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卓楼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1520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1520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15900　</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卓  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45</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王场</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550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550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12000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李方成</w:t>
            </w:r>
          </w:p>
        </w:tc>
      </w:tr>
      <w:bookmarkEnd w:id="43"/>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 w:val="18"/>
                <w:szCs w:val="18"/>
              </w:rPr>
            </w:pPr>
            <w:r>
              <w:rPr>
                <w:rFonts w:hint="eastAsia" w:ascii="仿宋_GB2312" w:hAnsi="宋体" w:eastAsia="仿宋_GB2312" w:cs="宋体"/>
                <w:b/>
                <w:spacing w:val="-10"/>
                <w:kern w:val="0"/>
                <w:sz w:val="18"/>
                <w:szCs w:val="18"/>
              </w:rPr>
              <w:t>小计</w:t>
            </w:r>
          </w:p>
        </w:tc>
        <w:tc>
          <w:tcPr>
            <w:tcW w:w="703" w:type="dxa"/>
            <w:vAlign w:val="center"/>
          </w:tcPr>
          <w:p>
            <w:pPr>
              <w:jc w:val="center"/>
              <w:rPr>
                <w:b/>
                <w:sz w:val="18"/>
                <w:szCs w:val="18"/>
              </w:rPr>
            </w:pPr>
            <w:r>
              <w:rPr>
                <w:b/>
                <w:sz w:val="18"/>
                <w:szCs w:val="18"/>
              </w:rPr>
              <w:t>1</w:t>
            </w:r>
            <w:r>
              <w:rPr>
                <w:rFonts w:hint="eastAsia"/>
                <w:b/>
                <w:sz w:val="18"/>
                <w:szCs w:val="18"/>
              </w:rPr>
              <w:t>2</w:t>
            </w:r>
            <w:r>
              <w:rPr>
                <w:b/>
                <w:sz w:val="18"/>
                <w:szCs w:val="18"/>
              </w:rPr>
              <w:t>605</w:t>
            </w:r>
          </w:p>
        </w:tc>
        <w:tc>
          <w:tcPr>
            <w:tcW w:w="753" w:type="dxa"/>
            <w:vAlign w:val="center"/>
          </w:tcPr>
          <w:p>
            <w:pPr>
              <w:jc w:val="center"/>
              <w:rPr>
                <w:rFonts w:hint="eastAsia"/>
                <w:b/>
                <w:sz w:val="18"/>
                <w:szCs w:val="18"/>
              </w:rPr>
            </w:pPr>
          </w:p>
        </w:tc>
        <w:tc>
          <w:tcPr>
            <w:tcW w:w="753" w:type="dxa"/>
            <w:vAlign w:val="center"/>
          </w:tcPr>
          <w:p>
            <w:pPr>
              <w:jc w:val="center"/>
              <w:rPr>
                <w:b/>
                <w:sz w:val="18"/>
                <w:szCs w:val="18"/>
              </w:rPr>
            </w:pPr>
            <w:r>
              <w:rPr>
                <w:b/>
                <w:sz w:val="18"/>
                <w:szCs w:val="18"/>
              </w:rPr>
              <w:t>12605</w:t>
            </w:r>
          </w:p>
        </w:tc>
        <w:tc>
          <w:tcPr>
            <w:tcW w:w="861" w:type="dxa"/>
            <w:vAlign w:val="center"/>
          </w:tcPr>
          <w:p>
            <w:pPr>
              <w:jc w:val="center"/>
              <w:rPr>
                <w:b/>
                <w:sz w:val="18"/>
                <w:szCs w:val="18"/>
              </w:rPr>
            </w:pPr>
            <w:r>
              <w:rPr>
                <w:b/>
                <w:sz w:val="18"/>
                <w:szCs w:val="18"/>
              </w:rPr>
              <w:t>81446</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p>
        </w:tc>
        <w:tc>
          <w:tcPr>
            <w:tcW w:w="851" w:type="dxa"/>
            <w:vAlign w:val="center"/>
          </w:tcPr>
          <w:p>
            <w:pPr>
              <w:widowControl/>
              <w:spacing w:line="0" w:lineRule="atLeast"/>
              <w:jc w:val="center"/>
              <w:rPr>
                <w:rFonts w:hint="eastAsia"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 w:val="18"/>
                <w:szCs w:val="18"/>
              </w:rPr>
            </w:pPr>
            <w:r>
              <w:rPr>
                <w:rFonts w:hint="eastAsia" w:ascii="仿宋_GB2312" w:hAnsi="宋体" w:eastAsia="仿宋_GB2312" w:cs="宋体"/>
                <w:b/>
                <w:spacing w:val="-10"/>
                <w:kern w:val="0"/>
                <w:sz w:val="18"/>
                <w:szCs w:val="18"/>
              </w:rPr>
              <w:t>合计</w:t>
            </w:r>
          </w:p>
        </w:tc>
        <w:tc>
          <w:tcPr>
            <w:tcW w:w="703" w:type="dxa"/>
            <w:vAlign w:val="center"/>
          </w:tcPr>
          <w:p>
            <w:pPr>
              <w:jc w:val="center"/>
              <w:rPr>
                <w:b/>
                <w:sz w:val="18"/>
                <w:szCs w:val="18"/>
              </w:rPr>
            </w:pPr>
            <w:r>
              <w:rPr>
                <w:b/>
                <w:sz w:val="18"/>
                <w:szCs w:val="18"/>
              </w:rPr>
              <w:t>6</w:t>
            </w:r>
            <w:r>
              <w:rPr>
                <w:rFonts w:hint="eastAsia"/>
                <w:b/>
                <w:sz w:val="18"/>
                <w:szCs w:val="18"/>
              </w:rPr>
              <w:t>5</w:t>
            </w:r>
            <w:r>
              <w:rPr>
                <w:b/>
                <w:sz w:val="18"/>
                <w:szCs w:val="18"/>
              </w:rPr>
              <w:t>841</w:t>
            </w:r>
          </w:p>
        </w:tc>
        <w:tc>
          <w:tcPr>
            <w:tcW w:w="753" w:type="dxa"/>
            <w:vAlign w:val="center"/>
          </w:tcPr>
          <w:p>
            <w:pPr>
              <w:jc w:val="center"/>
              <w:rPr>
                <w:b/>
                <w:sz w:val="18"/>
                <w:szCs w:val="18"/>
              </w:rPr>
            </w:pPr>
          </w:p>
        </w:tc>
        <w:tc>
          <w:tcPr>
            <w:tcW w:w="753" w:type="dxa"/>
            <w:vAlign w:val="center"/>
          </w:tcPr>
          <w:p>
            <w:pPr>
              <w:jc w:val="center"/>
              <w:rPr>
                <w:rFonts w:hint="eastAsia"/>
                <w:b/>
                <w:sz w:val="18"/>
                <w:szCs w:val="18"/>
              </w:rPr>
            </w:pPr>
            <w:r>
              <w:rPr>
                <w:rFonts w:hint="eastAsia"/>
                <w:b/>
                <w:sz w:val="18"/>
                <w:szCs w:val="18"/>
              </w:rPr>
              <w:t>65841</w:t>
            </w:r>
          </w:p>
        </w:tc>
        <w:tc>
          <w:tcPr>
            <w:tcW w:w="861" w:type="dxa"/>
            <w:vAlign w:val="center"/>
          </w:tcPr>
          <w:p>
            <w:pPr>
              <w:jc w:val="center"/>
              <w:rPr>
                <w:b/>
                <w:sz w:val="18"/>
                <w:szCs w:val="18"/>
              </w:rPr>
            </w:pPr>
            <w:r>
              <w:rPr>
                <w:b/>
                <w:sz w:val="18"/>
                <w:szCs w:val="18"/>
              </w:rPr>
              <w:t>566167</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p>
        </w:tc>
        <w:tc>
          <w:tcPr>
            <w:tcW w:w="851" w:type="dxa"/>
            <w:vAlign w:val="center"/>
          </w:tcPr>
          <w:p>
            <w:pPr>
              <w:widowControl/>
              <w:spacing w:line="0" w:lineRule="atLeast"/>
              <w:jc w:val="center"/>
              <w:rPr>
                <w:rFonts w:hint="eastAsia" w:ascii="仿宋_GB2312" w:hAnsi="宋体" w:eastAsia="仿宋_GB2312" w:cs="宋体"/>
                <w:kern w:val="0"/>
                <w:szCs w:val="21"/>
              </w:rPr>
            </w:pPr>
          </w:p>
        </w:tc>
      </w:tr>
    </w:tbl>
    <w:p>
      <w:pPr>
        <w:widowControl/>
        <w:autoSpaceDN w:val="0"/>
        <w:spacing w:line="600" w:lineRule="exact"/>
        <w:jc w:val="left"/>
        <w:rPr>
          <w:rFonts w:hint="eastAsia" w:ascii="黑体" w:hAnsi="黑体" w:eastAsia="黑体"/>
          <w:bCs/>
          <w:kern w:val="0"/>
          <w:sz w:val="32"/>
          <w:szCs w:val="32"/>
        </w:rPr>
      </w:pPr>
      <w:r>
        <w:rPr>
          <w:rFonts w:hint="eastAsia" w:ascii="黑体" w:hAnsi="黑体" w:eastAsia="黑体"/>
          <w:bCs/>
          <w:kern w:val="0"/>
          <w:sz w:val="32"/>
          <w:szCs w:val="32"/>
        </w:rPr>
        <w:t>附表5</w:t>
      </w:r>
    </w:p>
    <w:p>
      <w:pPr>
        <w:widowControl/>
        <w:autoSpaceDN w:val="0"/>
        <w:spacing w:line="600" w:lineRule="exact"/>
        <w:jc w:val="center"/>
        <w:rPr>
          <w:rFonts w:hint="eastAsia" w:ascii="方正小标宋简体" w:hAnsi="黑体" w:eastAsia="方正小标宋简体"/>
          <w:bCs/>
          <w:kern w:val="0"/>
          <w:sz w:val="44"/>
          <w:szCs w:val="44"/>
        </w:rPr>
      </w:pPr>
      <w:r>
        <w:rPr>
          <w:rFonts w:hint="eastAsia" w:ascii="方正小标宋简体" w:eastAsia="方正小标宋简体"/>
          <w:bCs/>
          <w:kern w:val="0"/>
          <w:sz w:val="44"/>
          <w:szCs w:val="44"/>
        </w:rPr>
        <w:t>滞洪区学生转移上课学校计划表</w:t>
      </w:r>
    </w:p>
    <w:tbl>
      <w:tblPr>
        <w:tblStyle w:val="28"/>
        <w:tblW w:w="9797" w:type="dxa"/>
        <w:jc w:val="center"/>
        <w:tblLayout w:type="fixed"/>
        <w:tblCellMar>
          <w:top w:w="0" w:type="dxa"/>
          <w:left w:w="108" w:type="dxa"/>
          <w:bottom w:w="0" w:type="dxa"/>
          <w:right w:w="108" w:type="dxa"/>
        </w:tblCellMar>
      </w:tblPr>
      <w:tblGrid>
        <w:gridCol w:w="420"/>
        <w:gridCol w:w="506"/>
        <w:gridCol w:w="1266"/>
        <w:gridCol w:w="840"/>
        <w:gridCol w:w="900"/>
        <w:gridCol w:w="864"/>
        <w:gridCol w:w="1416"/>
        <w:gridCol w:w="1092"/>
        <w:gridCol w:w="1217"/>
        <w:gridCol w:w="1276"/>
      </w:tblGrid>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序号</w:t>
            </w:r>
          </w:p>
        </w:tc>
        <w:tc>
          <w:tcPr>
            <w:tcW w:w="50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学校名称</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学生人数</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就地安置人数</w:t>
            </w: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转移安置人数</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其它重要</w:t>
            </w:r>
          </w:p>
          <w:p>
            <w:pPr>
              <w:widowControl/>
              <w:spacing w:line="500" w:lineRule="exact"/>
              <w:jc w:val="center"/>
              <w:rPr>
                <w:rFonts w:ascii="仿宋_GB2312" w:eastAsia="仿宋_GB2312"/>
                <w:kern w:val="0"/>
                <w:szCs w:val="21"/>
              </w:rPr>
            </w:pPr>
            <w:r>
              <w:rPr>
                <w:rFonts w:hint="eastAsia" w:ascii="仿宋_GB2312" w:eastAsia="仿宋_GB2312"/>
                <w:kern w:val="0"/>
                <w:szCs w:val="21"/>
              </w:rPr>
              <w:t>财 产</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转移方式</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转移安置学校</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负责人</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w:t>
            </w:r>
          </w:p>
        </w:tc>
        <w:tc>
          <w:tcPr>
            <w:tcW w:w="506" w:type="dxa"/>
            <w:vMerge w:val="restart"/>
            <w:tcBorders>
              <w:top w:val="nil"/>
              <w:left w:val="nil"/>
              <w:bottom w:val="single" w:color="000000" w:sz="4" w:space="0"/>
              <w:right w:val="single" w:color="000000" w:sz="4" w:space="0"/>
            </w:tcBorders>
            <w:vAlign w:val="center"/>
          </w:tcPr>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滨</w:t>
            </w:r>
          </w:p>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湖</w:t>
            </w:r>
          </w:p>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北焦小学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110人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110人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桌凳130套、电脑40台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滨湖镇中心小学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马灿恩</w:t>
            </w:r>
          </w:p>
          <w:p>
            <w:pPr>
              <w:widowControl/>
              <w:spacing w:line="500" w:lineRule="exact"/>
              <w:jc w:val="center"/>
              <w:rPr>
                <w:rFonts w:ascii="仿宋_GB2312" w:eastAsia="仿宋_GB2312"/>
                <w:kern w:val="0"/>
                <w:szCs w:val="21"/>
              </w:rPr>
            </w:pPr>
            <w:r>
              <w:rPr>
                <w:rFonts w:hint="eastAsia" w:ascii="仿宋_GB2312" w:eastAsia="仿宋_GB2312"/>
                <w:kern w:val="0"/>
                <w:szCs w:val="21"/>
              </w:rPr>
              <w:t>赫  涛</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2</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奎子小学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260人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260人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桌凳280套、电脑60台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滨湖镇中心小学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马灿恩</w:t>
            </w:r>
          </w:p>
          <w:p>
            <w:pPr>
              <w:widowControl/>
              <w:spacing w:line="500" w:lineRule="exact"/>
              <w:jc w:val="center"/>
              <w:rPr>
                <w:rFonts w:ascii="仿宋_GB2312" w:eastAsia="仿宋_GB2312"/>
                <w:kern w:val="0"/>
                <w:szCs w:val="21"/>
              </w:rPr>
            </w:pPr>
            <w:r>
              <w:rPr>
                <w:rFonts w:hint="eastAsia" w:ascii="仿宋_GB2312" w:eastAsia="仿宋_GB2312"/>
                <w:kern w:val="0"/>
                <w:szCs w:val="21"/>
              </w:rPr>
              <w:t>孙彦生</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东盖村小学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160人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160人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桌凳180套、电脑50台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滨湖镇望重小学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党相启</w:t>
            </w:r>
          </w:p>
          <w:p>
            <w:pPr>
              <w:widowControl/>
              <w:spacing w:line="500" w:lineRule="exact"/>
              <w:jc w:val="center"/>
              <w:rPr>
                <w:rFonts w:ascii="仿宋_GB2312" w:eastAsia="仿宋_GB2312"/>
                <w:kern w:val="0"/>
                <w:szCs w:val="21"/>
              </w:rPr>
            </w:pPr>
            <w:r>
              <w:rPr>
                <w:rFonts w:hint="eastAsia" w:ascii="仿宋_GB2312" w:eastAsia="仿宋_GB2312"/>
                <w:kern w:val="0"/>
                <w:szCs w:val="21"/>
              </w:rPr>
              <w:t>王艳萍</w:t>
            </w:r>
          </w:p>
        </w:tc>
      </w:tr>
      <w:tr>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4</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西辛安小学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150人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150人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桌凳170套、电脑48台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滨湖镇望重小学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党相启</w:t>
            </w:r>
          </w:p>
          <w:p>
            <w:pPr>
              <w:widowControl/>
              <w:spacing w:line="500" w:lineRule="exact"/>
              <w:jc w:val="center"/>
              <w:rPr>
                <w:rFonts w:ascii="仿宋_GB2312" w:eastAsia="仿宋_GB2312"/>
                <w:kern w:val="0"/>
                <w:szCs w:val="21"/>
              </w:rPr>
            </w:pPr>
            <w:r>
              <w:rPr>
                <w:rFonts w:hint="eastAsia" w:ascii="仿宋_GB2312" w:eastAsia="仿宋_GB2312"/>
                <w:kern w:val="0"/>
                <w:szCs w:val="21"/>
              </w:rPr>
              <w:t>王思恩</w:t>
            </w:r>
          </w:p>
        </w:tc>
      </w:tr>
      <w:tr>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5</w:t>
            </w:r>
          </w:p>
        </w:tc>
        <w:tc>
          <w:tcPr>
            <w:tcW w:w="506" w:type="dxa"/>
            <w:vMerge w:val="restart"/>
            <w:tcBorders>
              <w:top w:val="nil"/>
              <w:left w:val="nil"/>
              <w:bottom w:val="single" w:color="000000" w:sz="4" w:space="0"/>
              <w:right w:val="single" w:color="000000" w:sz="4" w:space="0"/>
            </w:tcBorders>
            <w:vAlign w:val="center"/>
          </w:tcPr>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级</w:t>
            </w:r>
          </w:p>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索</w:t>
            </w:r>
          </w:p>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前王晁小学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桌凳400套、电脑60台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级索镇龙岗小学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董  涛</w:t>
            </w:r>
          </w:p>
          <w:p>
            <w:pPr>
              <w:widowControl/>
              <w:spacing w:line="500" w:lineRule="exact"/>
              <w:jc w:val="center"/>
              <w:rPr>
                <w:rFonts w:ascii="仿宋_GB2312" w:eastAsia="仿宋_GB2312"/>
                <w:kern w:val="0"/>
                <w:szCs w:val="21"/>
              </w:rPr>
            </w:pPr>
            <w:r>
              <w:rPr>
                <w:rFonts w:hint="eastAsia" w:ascii="仿宋_GB2312" w:eastAsia="仿宋_GB2312"/>
                <w:kern w:val="0"/>
                <w:szCs w:val="21"/>
              </w:rPr>
              <w:t>程广龙</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6</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后王晁小学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桌凳400套、电脑60台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级索镇前牛集小学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蒋玉宏</w:t>
            </w:r>
          </w:p>
          <w:p>
            <w:pPr>
              <w:widowControl/>
              <w:spacing w:line="500" w:lineRule="exact"/>
              <w:jc w:val="center"/>
              <w:rPr>
                <w:rFonts w:ascii="仿宋_GB2312" w:eastAsia="仿宋_GB2312"/>
                <w:kern w:val="0"/>
                <w:szCs w:val="21"/>
              </w:rPr>
            </w:pPr>
            <w:r>
              <w:rPr>
                <w:rFonts w:hint="eastAsia" w:ascii="仿宋_GB2312" w:eastAsia="仿宋_GB2312"/>
                <w:kern w:val="0"/>
                <w:szCs w:val="21"/>
              </w:rPr>
              <w:t>赵  强</w:t>
            </w:r>
          </w:p>
        </w:tc>
      </w:tr>
      <w:tr>
        <w:tblPrEx>
          <w:tblCellMar>
            <w:top w:w="0" w:type="dxa"/>
            <w:left w:w="108" w:type="dxa"/>
            <w:bottom w:w="0" w:type="dxa"/>
            <w:right w:w="108" w:type="dxa"/>
          </w:tblCellMar>
        </w:tblPrEx>
        <w:trPr>
          <w:trHeight w:val="800" w:hRule="atLeast"/>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7</w:t>
            </w:r>
          </w:p>
        </w:tc>
        <w:tc>
          <w:tcPr>
            <w:tcW w:w="50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西</w:t>
            </w:r>
          </w:p>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岗</w:t>
            </w:r>
          </w:p>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卓楼小学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510</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510</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桌凳550套、电脑70台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西岗镇中心小学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马翠萍</w:t>
            </w:r>
          </w:p>
          <w:p>
            <w:pPr>
              <w:widowControl/>
              <w:spacing w:line="500" w:lineRule="exact"/>
              <w:jc w:val="center"/>
              <w:rPr>
                <w:rFonts w:ascii="仿宋_GB2312" w:eastAsia="仿宋_GB2312"/>
                <w:kern w:val="0"/>
                <w:szCs w:val="21"/>
              </w:rPr>
            </w:pPr>
            <w:r>
              <w:rPr>
                <w:rFonts w:hint="eastAsia" w:ascii="仿宋_GB2312" w:eastAsia="仿宋_GB2312"/>
                <w:kern w:val="0"/>
                <w:szCs w:val="21"/>
              </w:rPr>
              <w:t>杜传民</w:t>
            </w:r>
          </w:p>
        </w:tc>
      </w:tr>
      <w:tr>
        <w:tblPrEx>
          <w:tblCellMar>
            <w:top w:w="0" w:type="dxa"/>
            <w:left w:w="108" w:type="dxa"/>
            <w:bottom w:w="0" w:type="dxa"/>
            <w:right w:w="108" w:type="dxa"/>
          </w:tblCellMar>
        </w:tblPrEx>
        <w:trPr>
          <w:trHeight w:val="976" w:hRule="atLeast"/>
          <w:jc w:val="center"/>
        </w:trPr>
        <w:tc>
          <w:tcPr>
            <w:tcW w:w="9797" w:type="dxa"/>
            <w:gridSpan w:val="10"/>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eastAsia="仿宋_GB2312"/>
                <w:kern w:val="0"/>
                <w:szCs w:val="21"/>
              </w:rPr>
            </w:pPr>
            <w:r>
              <w:rPr>
                <w:rFonts w:hint="eastAsia" w:ascii="仿宋_GB2312" w:eastAsia="仿宋_GB2312"/>
                <w:kern w:val="0"/>
                <w:szCs w:val="21"/>
              </w:rPr>
              <w:t>备注：如洪水滞留时间较长（一周以上），由所在镇街教委办负责通知学生到指定以上学校安排上课</w:t>
            </w:r>
          </w:p>
        </w:tc>
      </w:tr>
    </w:tbl>
    <w:p>
      <w:pPr>
        <w:widowControl/>
        <w:spacing w:line="600" w:lineRule="exact"/>
        <w:rPr>
          <w:rFonts w:hint="eastAsia" w:ascii="黑体" w:hAnsi="黑体" w:eastAsia="黑体"/>
          <w:sz w:val="32"/>
          <w:szCs w:val="32"/>
        </w:rPr>
      </w:pPr>
      <w:r>
        <w:rPr>
          <w:rFonts w:ascii="仿宋_GB2312" w:hAnsi="宋体" w:eastAsia="仿宋_GB2312"/>
          <w:b/>
          <w:sz w:val="36"/>
          <w:szCs w:val="36"/>
        </w:rPr>
        <w:br w:type="page"/>
      </w:r>
      <w:r>
        <w:rPr>
          <w:rFonts w:hint="eastAsia" w:ascii="黑体" w:hAnsi="黑体" w:eastAsia="黑体"/>
          <w:sz w:val="32"/>
          <w:szCs w:val="32"/>
        </w:rPr>
        <w:t>附表6</w:t>
      </w:r>
    </w:p>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滞洪区居民财产登记及变更登记汇总表</w:t>
      </w:r>
    </w:p>
    <w:tbl>
      <w:tblPr>
        <w:tblStyle w:val="28"/>
        <w:tblW w:w="108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1"/>
        <w:gridCol w:w="574"/>
        <w:gridCol w:w="708"/>
        <w:gridCol w:w="914"/>
        <w:gridCol w:w="782"/>
        <w:gridCol w:w="859"/>
        <w:gridCol w:w="851"/>
        <w:gridCol w:w="709"/>
        <w:gridCol w:w="725"/>
        <w:gridCol w:w="860"/>
        <w:gridCol w:w="850"/>
        <w:gridCol w:w="708"/>
        <w:gridCol w:w="724"/>
        <w:gridCol w:w="7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0" w:hRule="atLeast"/>
          <w:jc w:val="center"/>
        </w:trPr>
        <w:tc>
          <w:tcPr>
            <w:tcW w:w="901"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单位</w:t>
            </w:r>
          </w:p>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名称</w:t>
            </w:r>
          </w:p>
        </w:tc>
        <w:tc>
          <w:tcPr>
            <w:tcW w:w="574"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户数（户）</w:t>
            </w:r>
          </w:p>
        </w:tc>
        <w:tc>
          <w:tcPr>
            <w:tcW w:w="708"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涉及人口（人）</w:t>
            </w:r>
          </w:p>
        </w:tc>
        <w:tc>
          <w:tcPr>
            <w:tcW w:w="914"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承包土地（亩）</w:t>
            </w:r>
          </w:p>
        </w:tc>
        <w:tc>
          <w:tcPr>
            <w:tcW w:w="782"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农作物（亩）</w:t>
            </w:r>
          </w:p>
        </w:tc>
        <w:tc>
          <w:tcPr>
            <w:tcW w:w="2419" w:type="dxa"/>
            <w:gridSpan w:val="3"/>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专业养殖</w:t>
            </w:r>
          </w:p>
        </w:tc>
        <w:tc>
          <w:tcPr>
            <w:tcW w:w="725"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经济林</w:t>
            </w:r>
          </w:p>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30"/>
                <w:kern w:val="0"/>
                <w:szCs w:val="21"/>
              </w:rPr>
              <w:t>（亩）</w:t>
            </w:r>
          </w:p>
        </w:tc>
        <w:tc>
          <w:tcPr>
            <w:tcW w:w="1710" w:type="dxa"/>
            <w:gridSpan w:val="2"/>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居民住房</w:t>
            </w:r>
          </w:p>
        </w:tc>
        <w:tc>
          <w:tcPr>
            <w:tcW w:w="1432" w:type="dxa"/>
            <w:gridSpan w:val="2"/>
            <w:tcBorders>
              <w:right w:val="single" w:color="auto" w:sz="4" w:space="0"/>
            </w:tcBorders>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农业生产机械、役畜</w:t>
            </w:r>
          </w:p>
        </w:tc>
        <w:tc>
          <w:tcPr>
            <w:tcW w:w="709" w:type="dxa"/>
            <w:tcBorders>
              <w:left w:val="single" w:color="auto" w:sz="4" w:space="0"/>
            </w:tcBorders>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家庭主要耐用消费品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0" w:hRule="atLeast"/>
          <w:jc w:val="center"/>
        </w:trPr>
        <w:tc>
          <w:tcPr>
            <w:tcW w:w="901"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574"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08"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914"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82"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家畜类（头）</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家禽类（只）</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水产类（亩）</w:t>
            </w:r>
          </w:p>
        </w:tc>
        <w:tc>
          <w:tcPr>
            <w:tcW w:w="725"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间</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平方米</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农业生产机械（台）</w:t>
            </w:r>
          </w:p>
        </w:tc>
        <w:tc>
          <w:tcPr>
            <w:tcW w:w="724" w:type="dxa"/>
            <w:vAlign w:val="center"/>
          </w:tcPr>
          <w:p>
            <w:pPr>
              <w:widowControl/>
              <w:spacing w:line="0" w:lineRule="atLeast"/>
              <w:jc w:val="center"/>
              <w:rPr>
                <w:rFonts w:hint="eastAsia" w:ascii="仿宋_GB2312" w:hAnsi="宋体" w:eastAsia="仿宋_GB2312" w:cs="宋体"/>
                <w:spacing w:val="-24"/>
                <w:kern w:val="0"/>
                <w:szCs w:val="21"/>
              </w:rPr>
            </w:pPr>
            <w:r>
              <w:rPr>
                <w:rFonts w:hint="eastAsia" w:ascii="仿宋_GB2312" w:hAnsi="宋体" w:eastAsia="仿宋_GB2312" w:cs="宋体"/>
                <w:spacing w:val="-24"/>
                <w:kern w:val="0"/>
                <w:szCs w:val="21"/>
              </w:rPr>
              <w:t>役畜（头）</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主要家用电器（台）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bookmarkStart w:id="44" w:name="OLE_LINK9" w:colFirst="1" w:colLast="13"/>
            <w:r>
              <w:rPr>
                <w:rFonts w:hint="eastAsia" w:ascii="仿宋_GB2312" w:hAnsi="宋体" w:eastAsia="仿宋_GB2312" w:cs="宋体"/>
                <w:spacing w:val="-20"/>
                <w:kern w:val="0"/>
                <w:sz w:val="18"/>
                <w:szCs w:val="18"/>
              </w:rPr>
              <w:t>下王庄</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428</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428</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15600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李仓</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485</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485</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131</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18100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8660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北焦村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1167</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1260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1030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1896</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71100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1650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东屯前</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179</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649</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588</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588</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5314</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73</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774</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18680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东屯后</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415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650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590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345</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3876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532</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12764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51</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稻屯</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1138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1145</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1142</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873</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9825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1367</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33162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西屯</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855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927</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884</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710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7985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109</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1127</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27558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徐楼</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1570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2070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2070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629</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2667</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101760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黄桥</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177</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972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1106</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29198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103</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奎子东</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1346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1666</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1666</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11230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1436</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43070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奎子西</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1232</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1232</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429</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1525</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36600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东焦村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574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1323</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1323</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3340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850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2490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60100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西焦村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952</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952</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3620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6800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人民庄</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317</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454</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431</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9790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王楼</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984</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25978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胡路口</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598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620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278</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20030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720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21600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滕州港</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3700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901" w:type="dxa"/>
            <w:vAlign w:val="center"/>
          </w:tcPr>
          <w:p>
            <w:pPr>
              <w:spacing w:line="0" w:lineRule="atLeast"/>
              <w:jc w:val="center"/>
              <w:rPr>
                <w:rFonts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北徐楼矿</w:t>
            </w:r>
          </w:p>
        </w:tc>
        <w:tc>
          <w:tcPr>
            <w:tcW w:w="57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1245</w:t>
            </w:r>
          </w:p>
        </w:tc>
        <w:tc>
          <w:tcPr>
            <w:tcW w:w="91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82"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6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26931</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901" w:type="dxa"/>
            <w:vAlign w:val="center"/>
          </w:tcPr>
          <w:p>
            <w:pPr>
              <w:spacing w:line="0" w:lineRule="atLeast"/>
              <w:jc w:val="center"/>
              <w:rPr>
                <w:rFonts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滨湖矿</w:t>
            </w:r>
          </w:p>
        </w:tc>
        <w:tc>
          <w:tcPr>
            <w:tcW w:w="57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91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82"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6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27859</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901" w:type="dxa"/>
            <w:vAlign w:val="center"/>
          </w:tcPr>
          <w:p>
            <w:pPr>
              <w:spacing w:line="0" w:lineRule="atLeast"/>
              <w:jc w:val="center"/>
              <w:rPr>
                <w:rFonts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市种猪场</w:t>
            </w:r>
          </w:p>
        </w:tc>
        <w:tc>
          <w:tcPr>
            <w:tcW w:w="57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85</w:t>
            </w:r>
          </w:p>
        </w:tc>
        <w:tc>
          <w:tcPr>
            <w:tcW w:w="91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82"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6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51</w:t>
            </w:r>
          </w:p>
        </w:tc>
        <w:tc>
          <w:tcPr>
            <w:tcW w:w="85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1300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西盖村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496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1240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1260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40960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1944</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58320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356</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后盖村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203</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327</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137650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28000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秦庄</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221</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873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26520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东盖村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1976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2332</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61200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410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赫村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647</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23200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严村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960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763</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501</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1670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50240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271</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bookmarkStart w:id="45" w:name="OLE_LINK8" w:colFirst="2" w:colLast="2"/>
            <w:r>
              <w:rPr>
                <w:rFonts w:hint="eastAsia" w:ascii="仿宋_GB2312" w:hAnsi="宋体" w:eastAsia="仿宋_GB2312" w:cs="宋体"/>
                <w:spacing w:val="-20"/>
                <w:kern w:val="0"/>
                <w:sz w:val="18"/>
                <w:szCs w:val="18"/>
              </w:rPr>
              <w:t>东周村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141</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451</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451</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223</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3680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822</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7430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r>
      <w:bookmarkEnd w:id="44"/>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bookmarkStart w:id="46" w:name="OLE_LINK10" w:colFirst="1" w:colLast="13"/>
            <w:r>
              <w:rPr>
                <w:rFonts w:hint="eastAsia" w:ascii="仿宋_GB2312" w:hAnsi="宋体" w:eastAsia="仿宋_GB2312" w:cs="宋体"/>
                <w:spacing w:val="-20"/>
                <w:kern w:val="0"/>
                <w:sz w:val="18"/>
                <w:szCs w:val="18"/>
              </w:rPr>
              <w:t>胡楼</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773</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5460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西周</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1098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297</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297</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258</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6076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1240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43400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中辛安</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1082</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848</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848</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586</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1440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1260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40580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728</w:t>
            </w:r>
          </w:p>
        </w:tc>
      </w:tr>
    </w:tbl>
    <w:tbl>
      <w:tblPr>
        <w:tblStyle w:val="28"/>
        <w:tblpPr w:leftFromText="180" w:rightFromText="180" w:vertAnchor="page" w:horzAnchor="margin" w:tblpXSpec="center" w:tblpY="1906"/>
        <w:tblW w:w="1088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7"/>
        <w:gridCol w:w="708"/>
        <w:gridCol w:w="708"/>
        <w:gridCol w:w="914"/>
        <w:gridCol w:w="992"/>
        <w:gridCol w:w="697"/>
        <w:gridCol w:w="803"/>
        <w:gridCol w:w="709"/>
        <w:gridCol w:w="725"/>
        <w:gridCol w:w="882"/>
        <w:gridCol w:w="992"/>
        <w:gridCol w:w="709"/>
        <w:gridCol w:w="567"/>
        <w:gridCol w:w="7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0" w:hRule="atLeast"/>
        </w:trPr>
        <w:tc>
          <w:tcPr>
            <w:tcW w:w="767"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单位</w:t>
            </w:r>
          </w:p>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名称</w:t>
            </w:r>
          </w:p>
        </w:tc>
        <w:tc>
          <w:tcPr>
            <w:tcW w:w="708"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户数（户）</w:t>
            </w:r>
          </w:p>
        </w:tc>
        <w:tc>
          <w:tcPr>
            <w:tcW w:w="708"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涉及人口（人）</w:t>
            </w:r>
          </w:p>
        </w:tc>
        <w:tc>
          <w:tcPr>
            <w:tcW w:w="914"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承包土地（亩）</w:t>
            </w:r>
          </w:p>
        </w:tc>
        <w:tc>
          <w:tcPr>
            <w:tcW w:w="992"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农作物（亩）</w:t>
            </w:r>
          </w:p>
        </w:tc>
        <w:tc>
          <w:tcPr>
            <w:tcW w:w="2209" w:type="dxa"/>
            <w:gridSpan w:val="3"/>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专业养殖</w:t>
            </w:r>
          </w:p>
        </w:tc>
        <w:tc>
          <w:tcPr>
            <w:tcW w:w="725" w:type="dxa"/>
            <w:vMerge w:val="restart"/>
            <w:vAlign w:val="center"/>
          </w:tcPr>
          <w:p>
            <w:pPr>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经济林</w:t>
            </w:r>
          </w:p>
          <w:p>
            <w:pPr>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30"/>
                <w:kern w:val="0"/>
                <w:szCs w:val="21"/>
              </w:rPr>
              <w:t>（亩）</w:t>
            </w:r>
          </w:p>
        </w:tc>
        <w:tc>
          <w:tcPr>
            <w:tcW w:w="1874" w:type="dxa"/>
            <w:gridSpan w:val="2"/>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居民住房</w:t>
            </w:r>
          </w:p>
        </w:tc>
        <w:tc>
          <w:tcPr>
            <w:tcW w:w="1276" w:type="dxa"/>
            <w:gridSpan w:val="2"/>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农业生产机械、役畜</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家庭主要耐用消费品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8" w:hRule="atLeast"/>
        </w:trPr>
        <w:tc>
          <w:tcPr>
            <w:tcW w:w="767"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08"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08"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914"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992"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家畜类（头）</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家禽类（只）</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水产类（亩）</w:t>
            </w:r>
          </w:p>
        </w:tc>
        <w:tc>
          <w:tcPr>
            <w:tcW w:w="725"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间</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平方米</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农业生产机械（台）</w:t>
            </w:r>
          </w:p>
        </w:tc>
        <w:tc>
          <w:tcPr>
            <w:tcW w:w="567" w:type="dxa"/>
            <w:vAlign w:val="center"/>
          </w:tcPr>
          <w:p>
            <w:pPr>
              <w:widowControl/>
              <w:spacing w:line="0" w:lineRule="atLeast"/>
              <w:jc w:val="center"/>
              <w:rPr>
                <w:rFonts w:hint="eastAsia" w:ascii="仿宋_GB2312" w:hAnsi="宋体" w:eastAsia="仿宋_GB2312" w:cs="宋体"/>
                <w:spacing w:val="-24"/>
                <w:kern w:val="0"/>
                <w:szCs w:val="21"/>
              </w:rPr>
            </w:pPr>
            <w:r>
              <w:rPr>
                <w:rFonts w:hint="eastAsia" w:ascii="仿宋_GB2312" w:hAnsi="宋体" w:eastAsia="仿宋_GB2312" w:cs="宋体"/>
                <w:spacing w:val="-24"/>
                <w:kern w:val="0"/>
                <w:szCs w:val="21"/>
              </w:rPr>
              <w:t>役畜（头）</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主要家用电器（台）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西辛安</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516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940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650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703</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4220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2640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208</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后辛安</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1334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1025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1025</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503</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1750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26800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东马村</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437</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1636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1178</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685</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17496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2185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57684</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262</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吕堂</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938.63</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938.63</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444</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2102</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40300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247</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西马村</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1778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1976</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1976</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673</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36200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2415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73600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257</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新村</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1727</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667</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2380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2525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82500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136</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徐家楼</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1062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3876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3959</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3650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4461</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5100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760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7450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172000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1060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小计</w:t>
            </w:r>
          </w:p>
        </w:tc>
        <w:tc>
          <w:tcPr>
            <w:tcW w:w="708"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10928</w:t>
            </w:r>
          </w:p>
        </w:tc>
        <w:tc>
          <w:tcPr>
            <w:tcW w:w="708"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42360</w:t>
            </w:r>
          </w:p>
        </w:tc>
        <w:tc>
          <w:tcPr>
            <w:tcW w:w="914"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36163.6</w:t>
            </w:r>
          </w:p>
        </w:tc>
        <w:tc>
          <w:tcPr>
            <w:tcW w:w="992"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33509.63</w:t>
            </w:r>
          </w:p>
        </w:tc>
        <w:tc>
          <w:tcPr>
            <w:tcW w:w="697"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23198</w:t>
            </w:r>
          </w:p>
        </w:tc>
        <w:tc>
          <w:tcPr>
            <w:tcW w:w="803"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524775</w:t>
            </w:r>
          </w:p>
        </w:tc>
        <w:tc>
          <w:tcPr>
            <w:tcW w:w="709"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18703</w:t>
            </w:r>
          </w:p>
        </w:tc>
        <w:tc>
          <w:tcPr>
            <w:tcW w:w="725"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10254</w:t>
            </w:r>
          </w:p>
        </w:tc>
        <w:tc>
          <w:tcPr>
            <w:tcW w:w="882"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51746</w:t>
            </w:r>
          </w:p>
        </w:tc>
        <w:tc>
          <w:tcPr>
            <w:tcW w:w="992"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1466379</w:t>
            </w:r>
          </w:p>
        </w:tc>
        <w:tc>
          <w:tcPr>
            <w:tcW w:w="709"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9333</w:t>
            </w:r>
          </w:p>
        </w:tc>
        <w:tc>
          <w:tcPr>
            <w:tcW w:w="567"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388</w:t>
            </w:r>
          </w:p>
        </w:tc>
        <w:tc>
          <w:tcPr>
            <w:tcW w:w="708"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55182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bookmarkStart w:id="47" w:name="OLE_LINK11" w:colFirst="1" w:colLast="13"/>
            <w:r>
              <w:rPr>
                <w:rFonts w:hint="eastAsia" w:ascii="仿宋_GB2312" w:hAnsi="宋体" w:eastAsia="仿宋_GB2312" w:cs="宋体"/>
                <w:spacing w:val="-20"/>
                <w:kern w:val="0"/>
                <w:sz w:val="18"/>
                <w:szCs w:val="18"/>
              </w:rPr>
              <w:t>后王晁</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1228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5255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12120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30418</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9450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瞿庄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359</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1241</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109</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3980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99460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前王晁</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6350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4652</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4652</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550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65</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15260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381020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羊二庄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936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780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1830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48200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r>
      <w:bookmarkEnd w:id="47"/>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小计</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3341</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13706</w:t>
            </w:r>
          </w:p>
        </w:tc>
        <w:tc>
          <w:tcPr>
            <w:tcW w:w="914"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11462</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10273</w:t>
            </w:r>
          </w:p>
        </w:tc>
        <w:tc>
          <w:tcPr>
            <w:tcW w:w="69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2650</w:t>
            </w:r>
          </w:p>
        </w:tc>
        <w:tc>
          <w:tcPr>
            <w:tcW w:w="803"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36600</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341</w:t>
            </w:r>
          </w:p>
        </w:tc>
        <w:tc>
          <w:tcPr>
            <w:tcW w:w="725"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1669</w:t>
            </w:r>
          </w:p>
        </w:tc>
        <w:tc>
          <w:tcPr>
            <w:tcW w:w="88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33190</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559098</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4280</w:t>
            </w:r>
          </w:p>
        </w:tc>
        <w:tc>
          <w:tcPr>
            <w:tcW w:w="56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137</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25310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邓集</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1964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1170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4100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16400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半楼</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1013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981</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141</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84000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段庄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662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2418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1610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19056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156</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6980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24300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姜桥（含费庄）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946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3460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2400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4900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李庄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1270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1270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2270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39</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4810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168350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985</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卓楼</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990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161</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201400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王场</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137</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550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小计</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3571</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12605</w:t>
            </w:r>
          </w:p>
        </w:tc>
        <w:tc>
          <w:tcPr>
            <w:tcW w:w="914"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9141</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8860</w:t>
            </w:r>
          </w:p>
        </w:tc>
        <w:tc>
          <w:tcPr>
            <w:tcW w:w="69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6620</w:t>
            </w:r>
          </w:p>
        </w:tc>
        <w:tc>
          <w:tcPr>
            <w:tcW w:w="803"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74826</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748</w:t>
            </w:r>
          </w:p>
        </w:tc>
        <w:tc>
          <w:tcPr>
            <w:tcW w:w="725"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919</w:t>
            </w:r>
          </w:p>
        </w:tc>
        <w:tc>
          <w:tcPr>
            <w:tcW w:w="88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33690</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910450</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3715</w:t>
            </w:r>
          </w:p>
        </w:tc>
        <w:tc>
          <w:tcPr>
            <w:tcW w:w="56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0</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16503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合计</w:t>
            </w:r>
          </w:p>
        </w:tc>
        <w:tc>
          <w:tcPr>
            <w:tcW w:w="708"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17840</w:t>
            </w:r>
          </w:p>
        </w:tc>
        <w:tc>
          <w:tcPr>
            <w:tcW w:w="708"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68671</w:t>
            </w:r>
          </w:p>
        </w:tc>
        <w:tc>
          <w:tcPr>
            <w:tcW w:w="914"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56766.6</w:t>
            </w:r>
          </w:p>
        </w:tc>
        <w:tc>
          <w:tcPr>
            <w:tcW w:w="992"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52642.63</w:t>
            </w:r>
          </w:p>
        </w:tc>
        <w:tc>
          <w:tcPr>
            <w:tcW w:w="697"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32468</w:t>
            </w:r>
          </w:p>
        </w:tc>
        <w:tc>
          <w:tcPr>
            <w:tcW w:w="803"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636201</w:t>
            </w:r>
          </w:p>
        </w:tc>
        <w:tc>
          <w:tcPr>
            <w:tcW w:w="709"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19792</w:t>
            </w:r>
          </w:p>
        </w:tc>
        <w:tc>
          <w:tcPr>
            <w:tcW w:w="725"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12842</w:t>
            </w:r>
          </w:p>
        </w:tc>
        <w:tc>
          <w:tcPr>
            <w:tcW w:w="882"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118626</w:t>
            </w:r>
          </w:p>
        </w:tc>
        <w:tc>
          <w:tcPr>
            <w:tcW w:w="992"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2935927</w:t>
            </w:r>
          </w:p>
        </w:tc>
        <w:tc>
          <w:tcPr>
            <w:tcW w:w="709"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17328</w:t>
            </w:r>
          </w:p>
        </w:tc>
        <w:tc>
          <w:tcPr>
            <w:tcW w:w="567"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525</w:t>
            </w:r>
          </w:p>
        </w:tc>
        <w:tc>
          <w:tcPr>
            <w:tcW w:w="708"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96995</w:t>
            </w:r>
          </w:p>
        </w:tc>
      </w:tr>
    </w:tbl>
    <w:p/>
    <w:bookmarkEnd w:id="45"/>
    <w:bookmarkEnd w:id="46"/>
    <w:p>
      <w:pPr>
        <w:spacing w:beforeLines="100" w:afterLines="100"/>
        <w:outlineLvl w:val="0"/>
        <w:rPr>
          <w:rFonts w:hint="eastAsia"/>
          <w:b/>
          <w:sz w:val="36"/>
          <w:szCs w:val="36"/>
        </w:rPr>
        <w:sectPr>
          <w:footerReference r:id="rId3" w:type="default"/>
          <w:footerReference r:id="rId4" w:type="even"/>
          <w:pgSz w:w="11906" w:h="16838"/>
          <w:pgMar w:top="1701" w:right="1701" w:bottom="1701" w:left="1701" w:header="851" w:footer="992" w:gutter="0"/>
          <w:pgNumType w:fmt="numberInDash" w:start="191"/>
          <w:cols w:space="720" w:num="1"/>
          <w:docGrid w:type="linesAndChars" w:linePitch="312" w:charSpace="0"/>
        </w:sectPr>
      </w:pPr>
    </w:p>
    <w:p>
      <w:pPr>
        <w:widowControl/>
        <w:spacing w:line="600" w:lineRule="exact"/>
        <w:rPr>
          <w:rFonts w:hint="eastAsia" w:ascii="黑体" w:hAnsi="黑体" w:eastAsia="黑体"/>
          <w:sz w:val="32"/>
          <w:szCs w:val="32"/>
        </w:rPr>
      </w:pPr>
      <w:r>
        <w:rPr>
          <w:rFonts w:hint="eastAsia" w:ascii="黑体" w:hAnsi="黑体" w:eastAsia="黑体"/>
          <w:sz w:val="32"/>
          <w:szCs w:val="32"/>
        </w:rPr>
        <w:t>附表7</w:t>
      </w:r>
    </w:p>
    <w:tbl>
      <w:tblPr>
        <w:tblStyle w:val="28"/>
        <w:tblpPr w:leftFromText="180" w:rightFromText="180" w:vertAnchor="page" w:horzAnchor="margin" w:tblpXSpec="center" w:tblpY="3616"/>
        <w:tblW w:w="1459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0"/>
        <w:gridCol w:w="816"/>
        <w:gridCol w:w="816"/>
        <w:gridCol w:w="696"/>
        <w:gridCol w:w="696"/>
        <w:gridCol w:w="897"/>
        <w:gridCol w:w="766"/>
        <w:gridCol w:w="731"/>
        <w:gridCol w:w="827"/>
        <w:gridCol w:w="748"/>
        <w:gridCol w:w="840"/>
        <w:gridCol w:w="840"/>
        <w:gridCol w:w="735"/>
        <w:gridCol w:w="840"/>
        <w:gridCol w:w="1050"/>
        <w:gridCol w:w="840"/>
        <w:gridCol w:w="945"/>
        <w:gridCol w:w="7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1" w:hRule="atLeast"/>
        </w:trPr>
        <w:tc>
          <w:tcPr>
            <w:tcW w:w="780" w:type="dxa"/>
            <w:vAlign w:val="center"/>
          </w:tcPr>
          <w:p>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镇街</w:t>
            </w:r>
          </w:p>
        </w:tc>
        <w:tc>
          <w:tcPr>
            <w:tcW w:w="81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麻袋(条)</w:t>
            </w:r>
          </w:p>
        </w:tc>
        <w:tc>
          <w:tcPr>
            <w:tcW w:w="81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编织袋(条)</w:t>
            </w:r>
          </w:p>
        </w:tc>
        <w:tc>
          <w:tcPr>
            <w:tcW w:w="69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土工布(m2)</w:t>
            </w:r>
          </w:p>
        </w:tc>
        <w:tc>
          <w:tcPr>
            <w:tcW w:w="69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砂石料(m3)</w:t>
            </w:r>
          </w:p>
        </w:tc>
        <w:tc>
          <w:tcPr>
            <w:tcW w:w="897"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块石(m3)</w:t>
            </w:r>
          </w:p>
        </w:tc>
        <w:tc>
          <w:tcPr>
            <w:tcW w:w="76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铅丝(kg)</w:t>
            </w:r>
          </w:p>
        </w:tc>
        <w:tc>
          <w:tcPr>
            <w:tcW w:w="731"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桩木(m3)</w:t>
            </w:r>
          </w:p>
        </w:tc>
        <w:tc>
          <w:tcPr>
            <w:tcW w:w="827"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钢管材(kg)</w:t>
            </w:r>
          </w:p>
        </w:tc>
        <w:tc>
          <w:tcPr>
            <w:tcW w:w="748"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绳类(kg)</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救生衣(件)</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抢险救生舟(艘)</w:t>
            </w:r>
          </w:p>
        </w:tc>
        <w:tc>
          <w:tcPr>
            <w:tcW w:w="735"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中小型船只(艘)</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发电机组(kw)</w:t>
            </w:r>
          </w:p>
        </w:tc>
        <w:tc>
          <w:tcPr>
            <w:tcW w:w="105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便携式工作灯(只)</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投光灯(只)</w:t>
            </w:r>
          </w:p>
        </w:tc>
        <w:tc>
          <w:tcPr>
            <w:tcW w:w="945"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打桩机(台)</w:t>
            </w:r>
          </w:p>
        </w:tc>
        <w:tc>
          <w:tcPr>
            <w:tcW w:w="735"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电缆(m)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滨湖</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1000</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25200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3960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2200</w:t>
            </w:r>
          </w:p>
        </w:tc>
        <w:tc>
          <w:tcPr>
            <w:tcW w:w="897" w:type="dxa"/>
            <w:vAlign w:val="center"/>
          </w:tcPr>
          <w:p>
            <w:pPr>
              <w:widowControl/>
              <w:jc w:val="center"/>
              <w:rPr>
                <w:rFonts w:ascii="宋体" w:hAnsi="宋体" w:cs="宋体"/>
                <w:kern w:val="0"/>
                <w:sz w:val="24"/>
              </w:rPr>
            </w:pPr>
            <w:r>
              <w:rPr>
                <w:rFonts w:hint="eastAsia" w:ascii="宋体" w:hAnsi="宋体" w:cs="宋体"/>
                <w:kern w:val="0"/>
                <w:sz w:val="24"/>
              </w:rPr>
              <w:t>2060</w:t>
            </w:r>
          </w:p>
        </w:tc>
        <w:tc>
          <w:tcPr>
            <w:tcW w:w="766" w:type="dxa"/>
            <w:vAlign w:val="center"/>
          </w:tcPr>
          <w:p>
            <w:pPr>
              <w:widowControl/>
              <w:jc w:val="center"/>
              <w:rPr>
                <w:rFonts w:ascii="宋体" w:hAnsi="宋体" w:cs="宋体"/>
                <w:kern w:val="0"/>
                <w:sz w:val="24"/>
              </w:rPr>
            </w:pPr>
            <w:r>
              <w:rPr>
                <w:rFonts w:hint="eastAsia" w:ascii="宋体" w:hAnsi="宋体" w:cs="宋体"/>
                <w:kern w:val="0"/>
                <w:sz w:val="24"/>
              </w:rPr>
              <w:t>1160</w:t>
            </w:r>
          </w:p>
        </w:tc>
        <w:tc>
          <w:tcPr>
            <w:tcW w:w="731" w:type="dxa"/>
            <w:vAlign w:val="center"/>
          </w:tcPr>
          <w:p>
            <w:pPr>
              <w:widowControl/>
              <w:jc w:val="center"/>
              <w:rPr>
                <w:rFonts w:ascii="宋体" w:hAnsi="宋体" w:cs="宋体"/>
                <w:kern w:val="0"/>
                <w:sz w:val="24"/>
              </w:rPr>
            </w:pPr>
            <w:r>
              <w:rPr>
                <w:rFonts w:hint="eastAsia" w:ascii="宋体" w:hAnsi="宋体" w:cs="宋体"/>
                <w:kern w:val="0"/>
                <w:sz w:val="24"/>
              </w:rPr>
              <w:t>13</w:t>
            </w:r>
          </w:p>
        </w:tc>
        <w:tc>
          <w:tcPr>
            <w:tcW w:w="827" w:type="dxa"/>
            <w:vAlign w:val="center"/>
          </w:tcPr>
          <w:p>
            <w:pPr>
              <w:widowControl/>
              <w:jc w:val="center"/>
              <w:rPr>
                <w:rFonts w:ascii="宋体" w:hAnsi="宋体" w:cs="宋体"/>
                <w:kern w:val="0"/>
                <w:sz w:val="24"/>
              </w:rPr>
            </w:pPr>
            <w:r>
              <w:rPr>
                <w:rFonts w:hint="eastAsia" w:ascii="宋体" w:hAnsi="宋体" w:cs="宋体"/>
                <w:kern w:val="0"/>
                <w:sz w:val="24"/>
              </w:rPr>
              <w:t>180</w:t>
            </w:r>
          </w:p>
        </w:tc>
        <w:tc>
          <w:tcPr>
            <w:tcW w:w="748" w:type="dxa"/>
            <w:vAlign w:val="center"/>
          </w:tcPr>
          <w:p>
            <w:pPr>
              <w:widowControl/>
              <w:jc w:val="center"/>
              <w:rPr>
                <w:rFonts w:ascii="宋体" w:hAnsi="宋体" w:cs="宋体"/>
                <w:kern w:val="0"/>
                <w:sz w:val="24"/>
              </w:rPr>
            </w:pPr>
            <w:r>
              <w:rPr>
                <w:rFonts w:hint="eastAsia" w:ascii="宋体" w:hAnsi="宋体" w:cs="宋体"/>
                <w:kern w:val="0"/>
                <w:sz w:val="24"/>
              </w:rPr>
              <w:t>40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315</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3</w:t>
            </w:r>
          </w:p>
        </w:tc>
        <w:tc>
          <w:tcPr>
            <w:tcW w:w="735" w:type="dxa"/>
            <w:vAlign w:val="center"/>
          </w:tcPr>
          <w:p>
            <w:pPr>
              <w:widowControl/>
              <w:jc w:val="center"/>
              <w:rPr>
                <w:rFonts w:ascii="宋体" w:hAnsi="宋体" w:cs="宋体"/>
                <w:kern w:val="0"/>
                <w:sz w:val="24"/>
              </w:rPr>
            </w:pPr>
            <w:r>
              <w:rPr>
                <w:rFonts w:hint="eastAsia" w:ascii="宋体" w:hAnsi="宋体" w:cs="宋体"/>
                <w:kern w:val="0"/>
                <w:sz w:val="24"/>
              </w:rPr>
              <w:t>2</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27</w:t>
            </w:r>
          </w:p>
        </w:tc>
        <w:tc>
          <w:tcPr>
            <w:tcW w:w="1050" w:type="dxa"/>
            <w:vAlign w:val="center"/>
          </w:tcPr>
          <w:p>
            <w:pPr>
              <w:widowControl/>
              <w:jc w:val="center"/>
              <w:rPr>
                <w:rFonts w:ascii="宋体" w:hAnsi="宋体" w:cs="宋体"/>
                <w:kern w:val="0"/>
                <w:sz w:val="24"/>
              </w:rPr>
            </w:pPr>
            <w:r>
              <w:rPr>
                <w:rFonts w:hint="eastAsia" w:ascii="宋体" w:hAnsi="宋体" w:cs="宋体"/>
                <w:kern w:val="0"/>
                <w:sz w:val="24"/>
              </w:rPr>
              <w:t>60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8</w:t>
            </w:r>
          </w:p>
        </w:tc>
        <w:tc>
          <w:tcPr>
            <w:tcW w:w="945" w:type="dxa"/>
            <w:vAlign w:val="center"/>
          </w:tcPr>
          <w:p>
            <w:pPr>
              <w:widowControl/>
              <w:jc w:val="center"/>
              <w:rPr>
                <w:rFonts w:ascii="宋体" w:hAnsi="宋体" w:cs="宋体"/>
                <w:kern w:val="0"/>
                <w:sz w:val="24"/>
              </w:rPr>
            </w:pPr>
            <w:r>
              <w:rPr>
                <w:rFonts w:hint="eastAsia" w:ascii="宋体" w:hAnsi="宋体" w:cs="宋体"/>
                <w:kern w:val="0"/>
                <w:sz w:val="24"/>
              </w:rPr>
              <w:t>1</w:t>
            </w:r>
          </w:p>
        </w:tc>
        <w:tc>
          <w:tcPr>
            <w:tcW w:w="735" w:type="dxa"/>
            <w:vAlign w:val="center"/>
          </w:tcPr>
          <w:p>
            <w:pPr>
              <w:widowControl/>
              <w:jc w:val="center"/>
              <w:rPr>
                <w:rFonts w:ascii="宋体" w:hAnsi="宋体" w:cs="宋体"/>
                <w:kern w:val="0"/>
                <w:sz w:val="24"/>
              </w:rPr>
            </w:pPr>
            <w:r>
              <w:rPr>
                <w:rFonts w:hint="eastAsia" w:ascii="宋体" w:hAnsi="宋体" w:cs="宋体"/>
                <w:kern w:val="0"/>
                <w:sz w:val="24"/>
              </w:rPr>
              <w:t>1000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西岗</w:t>
            </w:r>
          </w:p>
        </w:tc>
        <w:tc>
          <w:tcPr>
            <w:tcW w:w="816" w:type="dxa"/>
            <w:vAlign w:val="center"/>
          </w:tcPr>
          <w:p>
            <w:pPr>
              <w:widowControl/>
              <w:jc w:val="center"/>
              <w:rPr>
                <w:rFonts w:ascii="宋体" w:hAnsi="宋体" w:cs="宋体"/>
                <w:kern w:val="0"/>
                <w:sz w:val="24"/>
              </w:rPr>
            </w:pPr>
          </w:p>
        </w:tc>
        <w:tc>
          <w:tcPr>
            <w:tcW w:w="816" w:type="dxa"/>
            <w:vAlign w:val="center"/>
          </w:tcPr>
          <w:p>
            <w:pPr>
              <w:widowControl/>
              <w:jc w:val="center"/>
              <w:rPr>
                <w:rFonts w:ascii="宋体" w:hAnsi="宋体" w:cs="宋体"/>
                <w:kern w:val="0"/>
                <w:sz w:val="24"/>
              </w:rPr>
            </w:pPr>
            <w:r>
              <w:rPr>
                <w:rFonts w:hint="eastAsia" w:ascii="宋体" w:hAnsi="宋体" w:cs="宋体"/>
                <w:kern w:val="0"/>
                <w:sz w:val="24"/>
              </w:rPr>
              <w:t>41000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1500</w:t>
            </w:r>
          </w:p>
        </w:tc>
        <w:tc>
          <w:tcPr>
            <w:tcW w:w="897" w:type="dxa"/>
            <w:vAlign w:val="center"/>
          </w:tcPr>
          <w:p>
            <w:pPr>
              <w:widowControl/>
              <w:jc w:val="center"/>
              <w:rPr>
                <w:rFonts w:ascii="宋体" w:hAnsi="宋体" w:cs="宋体"/>
                <w:kern w:val="0"/>
                <w:sz w:val="24"/>
              </w:rPr>
            </w:pPr>
            <w:r>
              <w:rPr>
                <w:rFonts w:hint="eastAsia" w:ascii="宋体" w:hAnsi="宋体" w:cs="宋体"/>
                <w:kern w:val="0"/>
                <w:sz w:val="24"/>
              </w:rPr>
              <w:t>500</w:t>
            </w:r>
          </w:p>
        </w:tc>
        <w:tc>
          <w:tcPr>
            <w:tcW w:w="766"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731" w:type="dxa"/>
            <w:vAlign w:val="center"/>
          </w:tcPr>
          <w:p>
            <w:pPr>
              <w:widowControl/>
              <w:jc w:val="center"/>
              <w:rPr>
                <w:rFonts w:ascii="宋体" w:hAnsi="宋体" w:cs="宋体"/>
                <w:kern w:val="0"/>
                <w:sz w:val="24"/>
              </w:rPr>
            </w:pPr>
            <w:r>
              <w:rPr>
                <w:rFonts w:hint="eastAsia" w:ascii="宋体" w:hAnsi="宋体" w:cs="宋体"/>
                <w:kern w:val="0"/>
                <w:sz w:val="24"/>
              </w:rPr>
              <w:t>25</w:t>
            </w:r>
          </w:p>
        </w:tc>
        <w:tc>
          <w:tcPr>
            <w:tcW w:w="827"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748" w:type="dxa"/>
            <w:vAlign w:val="center"/>
          </w:tcPr>
          <w:p>
            <w:pPr>
              <w:widowControl/>
              <w:jc w:val="center"/>
              <w:rPr>
                <w:rFonts w:ascii="宋体" w:hAnsi="宋体" w:cs="宋体"/>
                <w:kern w:val="0"/>
                <w:sz w:val="24"/>
              </w:rPr>
            </w:pPr>
            <w:r>
              <w:rPr>
                <w:rFonts w:hint="eastAsia" w:ascii="宋体" w:hAnsi="宋体" w:cs="宋体"/>
                <w:kern w:val="0"/>
                <w:sz w:val="24"/>
              </w:rPr>
              <w:t>100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80</w:t>
            </w:r>
          </w:p>
        </w:tc>
        <w:tc>
          <w:tcPr>
            <w:tcW w:w="840"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p>
        </w:tc>
        <w:tc>
          <w:tcPr>
            <w:tcW w:w="840" w:type="dxa"/>
            <w:vAlign w:val="center"/>
          </w:tcPr>
          <w:p>
            <w:pPr>
              <w:widowControl/>
              <w:jc w:val="center"/>
              <w:rPr>
                <w:rFonts w:ascii="宋体" w:hAnsi="宋体" w:cs="宋体"/>
                <w:kern w:val="0"/>
                <w:sz w:val="24"/>
              </w:rPr>
            </w:pPr>
            <w:r>
              <w:rPr>
                <w:rFonts w:hint="eastAsia" w:ascii="宋体" w:hAnsi="宋体" w:cs="宋体"/>
                <w:kern w:val="0"/>
                <w:sz w:val="24"/>
              </w:rPr>
              <w:t>20</w:t>
            </w:r>
          </w:p>
        </w:tc>
        <w:tc>
          <w:tcPr>
            <w:tcW w:w="1050" w:type="dxa"/>
            <w:vAlign w:val="center"/>
          </w:tcPr>
          <w:p>
            <w:pPr>
              <w:widowControl/>
              <w:jc w:val="center"/>
              <w:rPr>
                <w:rFonts w:ascii="宋体" w:hAnsi="宋体" w:cs="宋体"/>
                <w:kern w:val="0"/>
                <w:sz w:val="24"/>
              </w:rPr>
            </w:pPr>
            <w:r>
              <w:rPr>
                <w:rFonts w:hint="eastAsia" w:ascii="宋体" w:hAnsi="宋体" w:cs="宋体"/>
                <w:kern w:val="0"/>
                <w:sz w:val="24"/>
              </w:rPr>
              <w:t>100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20</w:t>
            </w:r>
          </w:p>
        </w:tc>
        <w:tc>
          <w:tcPr>
            <w:tcW w:w="945"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r>
              <w:rPr>
                <w:rFonts w:hint="eastAsia" w:ascii="宋体" w:hAnsi="宋体" w:cs="宋体"/>
                <w:kern w:val="0"/>
                <w:sz w:val="24"/>
              </w:rPr>
              <w:t>1500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级索</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10000</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30000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500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897" w:type="dxa"/>
            <w:vAlign w:val="center"/>
          </w:tcPr>
          <w:p>
            <w:pPr>
              <w:widowControl/>
              <w:jc w:val="center"/>
              <w:rPr>
                <w:rFonts w:ascii="宋体" w:hAnsi="宋体" w:cs="宋体"/>
                <w:kern w:val="0"/>
                <w:sz w:val="24"/>
              </w:rPr>
            </w:pPr>
            <w:r>
              <w:rPr>
                <w:rFonts w:hint="eastAsia" w:ascii="宋体" w:hAnsi="宋体" w:cs="宋体"/>
                <w:kern w:val="0"/>
                <w:sz w:val="24"/>
              </w:rPr>
              <w:t>1500</w:t>
            </w:r>
          </w:p>
        </w:tc>
        <w:tc>
          <w:tcPr>
            <w:tcW w:w="766" w:type="dxa"/>
            <w:vAlign w:val="center"/>
          </w:tcPr>
          <w:p>
            <w:pPr>
              <w:widowControl/>
              <w:jc w:val="center"/>
              <w:rPr>
                <w:rFonts w:ascii="宋体" w:hAnsi="宋体" w:cs="宋体"/>
                <w:kern w:val="0"/>
                <w:sz w:val="24"/>
              </w:rPr>
            </w:pPr>
            <w:r>
              <w:rPr>
                <w:rFonts w:hint="eastAsia" w:ascii="宋体" w:hAnsi="宋体" w:cs="宋体"/>
                <w:kern w:val="0"/>
                <w:sz w:val="24"/>
              </w:rPr>
              <w:t>1000</w:t>
            </w:r>
          </w:p>
        </w:tc>
        <w:tc>
          <w:tcPr>
            <w:tcW w:w="731" w:type="dxa"/>
            <w:vAlign w:val="center"/>
          </w:tcPr>
          <w:p>
            <w:pPr>
              <w:widowControl/>
              <w:jc w:val="center"/>
              <w:rPr>
                <w:rFonts w:ascii="宋体" w:hAnsi="宋体" w:cs="宋体"/>
                <w:kern w:val="0"/>
                <w:sz w:val="24"/>
              </w:rPr>
            </w:pPr>
            <w:r>
              <w:rPr>
                <w:rFonts w:hint="eastAsia" w:ascii="宋体" w:hAnsi="宋体" w:cs="宋体"/>
                <w:kern w:val="0"/>
                <w:sz w:val="24"/>
              </w:rPr>
              <w:t>25</w:t>
            </w:r>
          </w:p>
        </w:tc>
        <w:tc>
          <w:tcPr>
            <w:tcW w:w="827" w:type="dxa"/>
            <w:vAlign w:val="center"/>
          </w:tcPr>
          <w:p>
            <w:pPr>
              <w:widowControl/>
              <w:jc w:val="center"/>
              <w:rPr>
                <w:rFonts w:ascii="宋体" w:hAnsi="宋体" w:cs="宋体"/>
                <w:kern w:val="0"/>
                <w:sz w:val="24"/>
              </w:rPr>
            </w:pPr>
            <w:r>
              <w:rPr>
                <w:rFonts w:hint="eastAsia" w:ascii="宋体" w:hAnsi="宋体" w:cs="宋体"/>
                <w:kern w:val="0"/>
                <w:sz w:val="24"/>
              </w:rPr>
              <w:t>1500</w:t>
            </w:r>
          </w:p>
        </w:tc>
        <w:tc>
          <w:tcPr>
            <w:tcW w:w="748" w:type="dxa"/>
            <w:vAlign w:val="center"/>
          </w:tcPr>
          <w:p>
            <w:pPr>
              <w:widowControl/>
              <w:jc w:val="center"/>
              <w:rPr>
                <w:rFonts w:ascii="宋体" w:hAnsi="宋体" w:cs="宋体"/>
                <w:kern w:val="0"/>
                <w:sz w:val="24"/>
              </w:rPr>
            </w:pPr>
            <w:r>
              <w:rPr>
                <w:rFonts w:hint="eastAsia" w:ascii="宋体" w:hAnsi="宋体" w:cs="宋体"/>
                <w:kern w:val="0"/>
                <w:sz w:val="24"/>
              </w:rPr>
              <w:t>50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500</w:t>
            </w:r>
          </w:p>
        </w:tc>
        <w:tc>
          <w:tcPr>
            <w:tcW w:w="840"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p>
        </w:tc>
        <w:tc>
          <w:tcPr>
            <w:tcW w:w="840" w:type="dxa"/>
            <w:vAlign w:val="center"/>
          </w:tcPr>
          <w:p>
            <w:pPr>
              <w:widowControl/>
              <w:jc w:val="center"/>
              <w:rPr>
                <w:rFonts w:ascii="宋体" w:hAnsi="宋体" w:cs="宋体"/>
                <w:kern w:val="0"/>
                <w:sz w:val="24"/>
              </w:rPr>
            </w:pPr>
            <w:r>
              <w:rPr>
                <w:rFonts w:hint="eastAsia" w:ascii="宋体" w:hAnsi="宋体" w:cs="宋体"/>
                <w:kern w:val="0"/>
                <w:sz w:val="24"/>
              </w:rPr>
              <w:t>60</w:t>
            </w:r>
          </w:p>
        </w:tc>
        <w:tc>
          <w:tcPr>
            <w:tcW w:w="1050" w:type="dxa"/>
            <w:vAlign w:val="center"/>
          </w:tcPr>
          <w:p>
            <w:pPr>
              <w:widowControl/>
              <w:jc w:val="center"/>
              <w:rPr>
                <w:rFonts w:ascii="宋体" w:hAnsi="宋体" w:cs="宋体"/>
                <w:kern w:val="0"/>
                <w:sz w:val="24"/>
              </w:rPr>
            </w:pPr>
            <w:r>
              <w:rPr>
                <w:rFonts w:hint="eastAsia" w:ascii="宋体" w:hAnsi="宋体" w:cs="宋体"/>
                <w:kern w:val="0"/>
                <w:sz w:val="24"/>
              </w:rPr>
              <w:t>200</w:t>
            </w:r>
          </w:p>
        </w:tc>
        <w:tc>
          <w:tcPr>
            <w:tcW w:w="840" w:type="dxa"/>
            <w:vAlign w:val="center"/>
          </w:tcPr>
          <w:p>
            <w:pPr>
              <w:widowControl/>
              <w:jc w:val="center"/>
              <w:rPr>
                <w:rFonts w:ascii="宋体" w:hAnsi="宋体" w:cs="宋体"/>
                <w:kern w:val="0"/>
                <w:sz w:val="24"/>
              </w:rPr>
            </w:pPr>
          </w:p>
        </w:tc>
        <w:tc>
          <w:tcPr>
            <w:tcW w:w="945"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r>
              <w:rPr>
                <w:rFonts w:hint="eastAsia" w:ascii="宋体" w:hAnsi="宋体" w:cs="宋体"/>
                <w:kern w:val="0"/>
                <w:sz w:val="24"/>
              </w:rPr>
              <w:t>3000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合计</w:t>
            </w:r>
          </w:p>
        </w:tc>
        <w:tc>
          <w:tcPr>
            <w:tcW w:w="816" w:type="dxa"/>
            <w:vAlign w:val="center"/>
          </w:tcPr>
          <w:p>
            <w:pPr>
              <w:widowControl/>
              <w:jc w:val="center"/>
              <w:rPr>
                <w:rFonts w:hint="eastAsia" w:ascii="宋体" w:hAnsi="宋体" w:cs="宋体"/>
                <w:kern w:val="0"/>
                <w:sz w:val="24"/>
              </w:rPr>
            </w:pPr>
            <w:r>
              <w:rPr>
                <w:rFonts w:hint="eastAsia" w:ascii="宋体" w:hAnsi="宋体" w:cs="宋体"/>
                <w:kern w:val="0"/>
                <w:sz w:val="24"/>
              </w:rPr>
              <w:t>11000</w:t>
            </w:r>
          </w:p>
        </w:tc>
        <w:tc>
          <w:tcPr>
            <w:tcW w:w="816" w:type="dxa"/>
            <w:vAlign w:val="center"/>
          </w:tcPr>
          <w:p>
            <w:pPr>
              <w:widowControl/>
              <w:jc w:val="center"/>
              <w:rPr>
                <w:rFonts w:hint="eastAsia" w:ascii="宋体" w:hAnsi="宋体" w:cs="宋体"/>
                <w:kern w:val="0"/>
                <w:sz w:val="24"/>
              </w:rPr>
            </w:pPr>
            <w:r>
              <w:rPr>
                <w:rFonts w:hint="eastAsia" w:ascii="宋体" w:hAnsi="宋体" w:cs="宋体"/>
                <w:kern w:val="0"/>
                <w:sz w:val="24"/>
              </w:rPr>
              <w:t>55200</w:t>
            </w:r>
          </w:p>
        </w:tc>
        <w:tc>
          <w:tcPr>
            <w:tcW w:w="696" w:type="dxa"/>
            <w:vAlign w:val="center"/>
          </w:tcPr>
          <w:p>
            <w:pPr>
              <w:widowControl/>
              <w:jc w:val="center"/>
              <w:rPr>
                <w:rFonts w:hint="eastAsia" w:ascii="宋体" w:hAnsi="宋体" w:cs="宋体"/>
                <w:kern w:val="0"/>
                <w:sz w:val="24"/>
              </w:rPr>
            </w:pPr>
            <w:r>
              <w:rPr>
                <w:rFonts w:hint="eastAsia" w:ascii="宋体" w:hAnsi="宋体" w:cs="宋体"/>
                <w:kern w:val="0"/>
                <w:sz w:val="24"/>
              </w:rPr>
              <w:t>6460</w:t>
            </w:r>
          </w:p>
        </w:tc>
        <w:tc>
          <w:tcPr>
            <w:tcW w:w="696" w:type="dxa"/>
            <w:vAlign w:val="center"/>
          </w:tcPr>
          <w:p>
            <w:pPr>
              <w:widowControl/>
              <w:jc w:val="center"/>
              <w:rPr>
                <w:rFonts w:hint="eastAsia" w:ascii="宋体" w:hAnsi="宋体" w:cs="宋体"/>
                <w:kern w:val="0"/>
                <w:sz w:val="24"/>
              </w:rPr>
            </w:pPr>
            <w:r>
              <w:rPr>
                <w:rFonts w:hint="eastAsia" w:ascii="宋体" w:hAnsi="宋体" w:cs="宋体"/>
                <w:kern w:val="0"/>
                <w:sz w:val="24"/>
              </w:rPr>
              <w:t>5700</w:t>
            </w:r>
          </w:p>
        </w:tc>
        <w:tc>
          <w:tcPr>
            <w:tcW w:w="897" w:type="dxa"/>
            <w:vAlign w:val="center"/>
          </w:tcPr>
          <w:p>
            <w:pPr>
              <w:widowControl/>
              <w:jc w:val="center"/>
              <w:rPr>
                <w:rFonts w:hint="eastAsia" w:ascii="宋体" w:hAnsi="宋体" w:cs="宋体"/>
                <w:kern w:val="0"/>
                <w:sz w:val="24"/>
              </w:rPr>
            </w:pPr>
            <w:r>
              <w:rPr>
                <w:rFonts w:hint="eastAsia" w:ascii="宋体" w:hAnsi="宋体" w:cs="宋体"/>
                <w:kern w:val="0"/>
                <w:sz w:val="24"/>
              </w:rPr>
              <w:t>4060</w:t>
            </w:r>
          </w:p>
        </w:tc>
        <w:tc>
          <w:tcPr>
            <w:tcW w:w="766" w:type="dxa"/>
            <w:vAlign w:val="center"/>
          </w:tcPr>
          <w:p>
            <w:pPr>
              <w:widowControl/>
              <w:jc w:val="center"/>
              <w:rPr>
                <w:rFonts w:hint="eastAsia" w:ascii="宋体" w:hAnsi="宋体" w:cs="宋体"/>
                <w:kern w:val="0"/>
                <w:sz w:val="24"/>
              </w:rPr>
            </w:pPr>
            <w:r>
              <w:rPr>
                <w:rFonts w:hint="eastAsia" w:ascii="宋体" w:hAnsi="宋体" w:cs="宋体"/>
                <w:kern w:val="0"/>
                <w:sz w:val="24"/>
              </w:rPr>
              <w:t>4160</w:t>
            </w:r>
          </w:p>
        </w:tc>
        <w:tc>
          <w:tcPr>
            <w:tcW w:w="731" w:type="dxa"/>
            <w:vAlign w:val="center"/>
          </w:tcPr>
          <w:p>
            <w:pPr>
              <w:widowControl/>
              <w:jc w:val="center"/>
              <w:rPr>
                <w:rFonts w:hint="eastAsia" w:ascii="宋体" w:hAnsi="宋体" w:cs="宋体"/>
                <w:kern w:val="0"/>
                <w:sz w:val="24"/>
              </w:rPr>
            </w:pPr>
            <w:r>
              <w:rPr>
                <w:rFonts w:hint="eastAsia" w:ascii="宋体" w:hAnsi="宋体" w:cs="宋体"/>
                <w:kern w:val="0"/>
                <w:sz w:val="24"/>
              </w:rPr>
              <w:t>63</w:t>
            </w:r>
          </w:p>
        </w:tc>
        <w:tc>
          <w:tcPr>
            <w:tcW w:w="827" w:type="dxa"/>
            <w:vAlign w:val="center"/>
          </w:tcPr>
          <w:p>
            <w:pPr>
              <w:widowControl/>
              <w:jc w:val="center"/>
              <w:rPr>
                <w:rFonts w:hint="eastAsia" w:ascii="宋体" w:hAnsi="宋体" w:cs="宋体"/>
                <w:kern w:val="0"/>
                <w:sz w:val="24"/>
              </w:rPr>
            </w:pPr>
            <w:r>
              <w:rPr>
                <w:rFonts w:hint="eastAsia" w:ascii="宋体" w:hAnsi="宋体" w:cs="宋体"/>
                <w:kern w:val="0"/>
                <w:sz w:val="24"/>
              </w:rPr>
              <w:t>3680</w:t>
            </w:r>
          </w:p>
        </w:tc>
        <w:tc>
          <w:tcPr>
            <w:tcW w:w="748" w:type="dxa"/>
            <w:vAlign w:val="center"/>
          </w:tcPr>
          <w:p>
            <w:pPr>
              <w:widowControl/>
              <w:jc w:val="center"/>
              <w:rPr>
                <w:rFonts w:hint="eastAsia" w:ascii="宋体" w:hAnsi="宋体" w:cs="宋体"/>
                <w:kern w:val="0"/>
                <w:sz w:val="24"/>
              </w:rPr>
            </w:pPr>
            <w:r>
              <w:rPr>
                <w:rFonts w:hint="eastAsia" w:ascii="宋体" w:hAnsi="宋体" w:cs="宋体"/>
                <w:kern w:val="0"/>
                <w:sz w:val="24"/>
              </w:rPr>
              <w:t>190</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895</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735" w:type="dxa"/>
            <w:vAlign w:val="center"/>
          </w:tcPr>
          <w:p>
            <w:pPr>
              <w:widowControl/>
              <w:jc w:val="center"/>
              <w:rPr>
                <w:rFonts w:hint="eastAsia" w:ascii="宋体" w:hAnsi="宋体" w:cs="宋体"/>
                <w:kern w:val="0"/>
                <w:sz w:val="24"/>
              </w:rPr>
            </w:pPr>
            <w:r>
              <w:rPr>
                <w:rFonts w:hint="eastAsia" w:ascii="宋体" w:hAnsi="宋体" w:cs="宋体"/>
                <w:kern w:val="0"/>
                <w:sz w:val="24"/>
              </w:rPr>
              <w:t>2</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107</w:t>
            </w:r>
          </w:p>
        </w:tc>
        <w:tc>
          <w:tcPr>
            <w:tcW w:w="1050" w:type="dxa"/>
            <w:vAlign w:val="center"/>
          </w:tcPr>
          <w:p>
            <w:pPr>
              <w:widowControl/>
              <w:jc w:val="center"/>
              <w:rPr>
                <w:rFonts w:hint="eastAsia" w:ascii="宋体" w:hAnsi="宋体" w:cs="宋体"/>
                <w:kern w:val="0"/>
                <w:sz w:val="24"/>
              </w:rPr>
            </w:pPr>
            <w:r>
              <w:rPr>
                <w:rFonts w:hint="eastAsia" w:ascii="宋体" w:hAnsi="宋体" w:cs="宋体"/>
                <w:kern w:val="0"/>
                <w:sz w:val="24"/>
              </w:rPr>
              <w:t>360</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28</w:t>
            </w:r>
          </w:p>
        </w:tc>
        <w:tc>
          <w:tcPr>
            <w:tcW w:w="945" w:type="dxa"/>
            <w:vAlign w:val="center"/>
          </w:tcPr>
          <w:p>
            <w:pPr>
              <w:widowControl/>
              <w:jc w:val="center"/>
              <w:rPr>
                <w:rFonts w:hint="eastAsia" w:ascii="宋体" w:hAnsi="宋体" w:cs="宋体"/>
                <w:kern w:val="0"/>
                <w:sz w:val="24"/>
              </w:rPr>
            </w:pPr>
            <w:r>
              <w:rPr>
                <w:rFonts w:hint="eastAsia" w:ascii="宋体" w:hAnsi="宋体" w:cs="宋体"/>
                <w:kern w:val="0"/>
                <w:sz w:val="24"/>
              </w:rPr>
              <w:t>1</w:t>
            </w:r>
          </w:p>
        </w:tc>
        <w:tc>
          <w:tcPr>
            <w:tcW w:w="735" w:type="dxa"/>
            <w:vAlign w:val="center"/>
          </w:tcPr>
          <w:p>
            <w:pPr>
              <w:widowControl/>
              <w:jc w:val="center"/>
              <w:rPr>
                <w:rFonts w:hint="eastAsia" w:ascii="宋体" w:hAnsi="宋体" w:cs="宋体"/>
                <w:kern w:val="0"/>
                <w:sz w:val="24"/>
              </w:rPr>
            </w:pPr>
            <w:r>
              <w:rPr>
                <w:rFonts w:hint="eastAsia" w:ascii="宋体" w:hAnsi="宋体" w:cs="宋体"/>
                <w:kern w:val="0"/>
                <w:sz w:val="24"/>
              </w:rPr>
              <w:t>5500</w:t>
            </w:r>
          </w:p>
        </w:tc>
      </w:tr>
    </w:tbl>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滞洪区物料储备表</w:t>
      </w:r>
    </w:p>
    <w:p>
      <w:pPr>
        <w:jc w:val="left"/>
        <w:rPr>
          <w:rFonts w:hint="eastAsia" w:ascii="仿宋_GB2312" w:eastAsia="仿宋_GB2312"/>
          <w:sz w:val="32"/>
          <w:szCs w:val="32"/>
        </w:rPr>
      </w:pPr>
    </w:p>
    <w:p>
      <w:pPr>
        <w:jc w:val="left"/>
        <w:rPr>
          <w:rFonts w:hint="eastAsia" w:ascii="仿宋_GB2312" w:eastAsia="仿宋_GB2312"/>
          <w:sz w:val="32"/>
          <w:szCs w:val="32"/>
        </w:rPr>
      </w:pPr>
      <w:r>
        <w:rPr>
          <w:rFonts w:hint="eastAsia" w:ascii="仿宋_GB2312" w:eastAsia="仿宋_GB2312"/>
          <w:sz w:val="32"/>
          <w:szCs w:val="32"/>
        </w:rPr>
        <w:t>联系人：滨湖镇  刘书军  水利站长  15098292686</w:t>
      </w:r>
    </w:p>
    <w:p>
      <w:pPr>
        <w:ind w:firstLine="1280" w:firstLineChars="400"/>
        <w:jc w:val="left"/>
        <w:rPr>
          <w:rFonts w:hint="eastAsia" w:ascii="仿宋_GB2312" w:eastAsia="仿宋_GB2312"/>
          <w:sz w:val="32"/>
          <w:szCs w:val="32"/>
        </w:rPr>
      </w:pPr>
      <w:r>
        <w:rPr>
          <w:rFonts w:hint="eastAsia" w:ascii="仿宋_GB2312" w:eastAsia="仿宋_GB2312"/>
          <w:sz w:val="32"/>
          <w:szCs w:val="32"/>
        </w:rPr>
        <w:t>西岗镇  陈  涛  水利站长  13562207568</w:t>
      </w:r>
    </w:p>
    <w:p>
      <w:pPr>
        <w:ind w:firstLine="1280" w:firstLineChars="400"/>
        <w:jc w:val="left"/>
        <w:rPr>
          <w:rFonts w:hint="eastAsia" w:ascii="仿宋_GB2312" w:eastAsia="仿宋_GB2312"/>
          <w:sz w:val="32"/>
          <w:szCs w:val="32"/>
        </w:rPr>
        <w:sectPr>
          <w:pgSz w:w="16838" w:h="11906" w:orient="landscape"/>
          <w:pgMar w:top="1701" w:right="1701" w:bottom="1701" w:left="1701" w:header="851" w:footer="992" w:gutter="0"/>
          <w:pgNumType w:fmt="numberInDash"/>
          <w:cols w:space="720" w:num="1"/>
          <w:docGrid w:type="linesAndChars" w:linePitch="312" w:charSpace="0"/>
        </w:sectPr>
      </w:pPr>
      <w:r>
        <w:rPr>
          <w:rFonts w:hint="eastAsia" w:ascii="仿宋_GB2312" w:eastAsia="仿宋_GB2312"/>
          <w:sz w:val="32"/>
          <w:szCs w:val="32"/>
        </w:rPr>
        <w:t>级索镇  韩玉泉  水利站长  13563275836</w:t>
      </w:r>
    </w:p>
    <w:p>
      <w:pPr>
        <w:snapToGrid w:val="0"/>
        <w:spacing w:line="600" w:lineRule="exact"/>
        <w:outlineLvl w:val="0"/>
        <w:rPr>
          <w:rFonts w:hint="eastAsia" w:ascii="黑体" w:hAnsi="黑体" w:eastAsia="黑体"/>
          <w:sz w:val="32"/>
          <w:szCs w:val="32"/>
        </w:rPr>
      </w:pPr>
      <w:r>
        <w:rPr>
          <w:rFonts w:hint="eastAsia" w:ascii="黑体" w:hAnsi="黑体" w:eastAsia="黑体"/>
          <w:sz w:val="32"/>
          <w:szCs w:val="32"/>
        </w:rPr>
        <w:t>附图1</w:t>
      </w:r>
    </w:p>
    <w:p>
      <w:pPr>
        <w:spacing w:beforeLines="100" w:afterLines="100"/>
        <w:jc w:val="center"/>
        <w:outlineLvl w:val="0"/>
        <w:rPr>
          <w:rFonts w:hint="eastAsia" w:ascii="方正小标宋简体" w:hAnsi="宋体" w:eastAsia="方正小标宋简体"/>
          <w:sz w:val="44"/>
          <w:szCs w:val="44"/>
        </w:rPr>
      </w:pPr>
      <w:r>
        <w:rPr>
          <w:rFonts w:hint="eastAsia" w:ascii="方正小标宋简体" w:hAnsi="宋体" w:eastAsia="方正小标宋简体"/>
          <w:sz w:val="44"/>
          <w:szCs w:val="44"/>
        </w:rPr>
        <w:t>滞洪区指挥机构简略图</w:t>
      </w:r>
    </w:p>
    <w:p>
      <w:pPr>
        <w:spacing w:beforeLines="100" w:afterLines="100"/>
        <w:jc w:val="center"/>
        <w:outlineLvl w:val="0"/>
        <w:rPr>
          <w:rFonts w:hint="eastAsia" w:ascii="方正小标宋简体" w:eastAsia="方正小标宋简体"/>
          <w:sz w:val="44"/>
          <w:szCs w:val="44"/>
        </w:rPr>
      </w:pPr>
      <w:r>
        <w:rPr>
          <w:rFonts w:hint="eastAsia" w:ascii="方正小标宋简体" w:eastAsia="方正小标宋简体"/>
          <w:sz w:val="44"/>
          <w:szCs w:val="44"/>
          <w:lang w:val="en-US" w:eastAsia="zh-CN"/>
        </w:rPr>
        <mc:AlternateContent>
          <mc:Choice Requires="wps">
            <w:drawing>
              <wp:anchor distT="0" distB="0" distL="114300" distR="114300" simplePos="0" relativeHeight="251659264" behindDoc="0" locked="0" layoutInCell="1" allowOverlap="1">
                <wp:simplePos x="0" y="0"/>
                <wp:positionH relativeFrom="column">
                  <wp:posOffset>2200275</wp:posOffset>
                </wp:positionH>
                <wp:positionV relativeFrom="paragraph">
                  <wp:posOffset>4061460</wp:posOffset>
                </wp:positionV>
                <wp:extent cx="400050" cy="891540"/>
                <wp:effectExtent l="4445" t="4445" r="14605" b="18415"/>
                <wp:wrapNone/>
                <wp:docPr id="1" name="Text Box 40"/>
                <wp:cNvGraphicFramePr/>
                <a:graphic xmlns:a="http://schemas.openxmlformats.org/drawingml/2006/main">
                  <a:graphicData uri="http://schemas.microsoft.com/office/word/2010/wordprocessingShape">
                    <wps:wsp>
                      <wps:cNvSpPr txBox="1"/>
                      <wps:spPr>
                        <a:xfrm>
                          <a:off x="0" y="0"/>
                          <a:ext cx="400050" cy="8915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调度反馈</w:t>
                            </w:r>
                          </w:p>
                        </w:txbxContent>
                      </wps:txbx>
                      <wps:bodyPr upright="1"/>
                    </wps:wsp>
                  </a:graphicData>
                </a:graphic>
              </wp:anchor>
            </w:drawing>
          </mc:Choice>
          <mc:Fallback>
            <w:pict>
              <v:shape id="Text Box 40" o:spid="_x0000_s1026" o:spt="202" type="#_x0000_t202" style="position:absolute;left:0pt;margin-left:173.25pt;margin-top:319.8pt;height:70.2pt;width:31.5pt;z-index:251659264;mso-width-relative:page;mso-height-relative:page;" fillcolor="#FFFFFF" filled="t" stroked="t" coordsize="21600,21600" o:gfxdata="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4iyC2gAAAAsBAAAPAAAAAAAAAAEAIAAAACIAAABkcnMvZG93bnJldi54bWxQ&#10;SwECFAAUAAAACACHTuJAqz6mfvUBAAA1BAAADgAAAAAAAAABACAAAAApAQAAZHJzL2Uyb0RvYy54&#10;bWxQSwUGAAAAAAYABgBZAQAAkAUAAAAA&#10;">
                <v:fill on="t" focussize="0,0"/>
                <v:stroke color="#FFFFFF" joinstyle="miter"/>
                <v:imagedata o:title=""/>
                <o:lock v:ext="edit" aspectratio="f"/>
                <v:textbox>
                  <w:txbxContent>
                    <w:p>
                      <w:pPr>
                        <w:rPr>
                          <w:rFonts w:hint="eastAsia"/>
                        </w:rPr>
                      </w:pPr>
                      <w:r>
                        <w:rPr>
                          <w:rFonts w:hint="eastAsia"/>
                        </w:rPr>
                        <w:t>调度反馈</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7696" behindDoc="0" locked="0" layoutInCell="1" allowOverlap="1">
                <wp:simplePos x="0" y="0"/>
                <wp:positionH relativeFrom="column">
                  <wp:posOffset>2800350</wp:posOffset>
                </wp:positionH>
                <wp:positionV relativeFrom="paragraph">
                  <wp:posOffset>1188720</wp:posOffset>
                </wp:positionV>
                <wp:extent cx="800100" cy="297180"/>
                <wp:effectExtent l="4445" t="4445" r="14605" b="22225"/>
                <wp:wrapNone/>
                <wp:docPr id="19" name="Text Box 3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调度反馈</w:t>
                            </w:r>
                          </w:p>
                        </w:txbxContent>
                      </wps:txbx>
                      <wps:bodyPr upright="1"/>
                    </wps:wsp>
                  </a:graphicData>
                </a:graphic>
              </wp:anchor>
            </w:drawing>
          </mc:Choice>
          <mc:Fallback>
            <w:pict>
              <v:shape id="Text Box 39" o:spid="_x0000_s1026" o:spt="202" type="#_x0000_t202" style="position:absolute;left:0pt;margin-left:220.5pt;margin-top:93.6pt;height:23.4pt;width:63pt;z-index:251677696;mso-width-relative:page;mso-height-relative:page;" fillcolor="#FFFFFF" filled="t" stroked="t" coordsize="21600,21600" o:gfxdata="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9urkNkAAAALAQAADwAAAAAAAAABACAAAAAiAAAAZHJzL2Rvd25yZXYueG1s&#10;UEsBAhQAFAAAAAgAh07iQIZg7Dz3AQAANgQAAA4AAAAAAAAAAQAgAAAAKAEAAGRycy9lMm9Eb2Mu&#10;eG1sUEsFBgAAAAAGAAYAWQEAAJEFAAAAAA==&#10;">
                <v:fill on="t" focussize="0,0"/>
                <v:stroke color="#FFFFFF" joinstyle="miter"/>
                <v:imagedata o:title=""/>
                <o:lock v:ext="edit" aspectratio="f"/>
                <v:textbox>
                  <w:txbxContent>
                    <w:p>
                      <w:pPr>
                        <w:rPr>
                          <w:rFonts w:hint="eastAsia"/>
                        </w:rPr>
                      </w:pPr>
                      <w:r>
                        <w:rPr>
                          <w:rFonts w:hint="eastAsia"/>
                        </w:rPr>
                        <w:t>调度反馈</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6672" behindDoc="0" locked="0" layoutInCell="1" allowOverlap="1">
                <wp:simplePos x="0" y="0"/>
                <wp:positionH relativeFrom="column">
                  <wp:posOffset>1400175</wp:posOffset>
                </wp:positionH>
                <wp:positionV relativeFrom="paragraph">
                  <wp:posOffset>1188720</wp:posOffset>
                </wp:positionV>
                <wp:extent cx="733425" cy="297180"/>
                <wp:effectExtent l="4445" t="5080" r="5080" b="21590"/>
                <wp:wrapNone/>
                <wp:docPr id="18" name="Text Box 36"/>
                <wp:cNvGraphicFramePr/>
                <a:graphic xmlns:a="http://schemas.openxmlformats.org/drawingml/2006/main">
                  <a:graphicData uri="http://schemas.microsoft.com/office/word/2010/wordprocessingShape">
                    <wps:wsp>
                      <wps:cNvSpPr txBox="1"/>
                      <wps:spPr>
                        <a:xfrm>
                          <a:off x="0" y="0"/>
                          <a:ext cx="733425"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协助指挥</w:t>
                            </w:r>
                          </w:p>
                        </w:txbxContent>
                      </wps:txbx>
                      <wps:bodyPr upright="1"/>
                    </wps:wsp>
                  </a:graphicData>
                </a:graphic>
              </wp:anchor>
            </w:drawing>
          </mc:Choice>
          <mc:Fallback>
            <w:pict>
              <v:shape id="Text Box 36" o:spid="_x0000_s1026" o:spt="202" type="#_x0000_t202" style="position:absolute;left:0pt;margin-left:110.25pt;margin-top:93.6pt;height:23.4pt;width:57.75pt;z-index:251676672;mso-width-relative:page;mso-height-relative:page;" fillcolor="#FFFFFF" filled="t" stroked="t" coordsize="21600,21600" o:gfxdata="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mNuMtgAAAALAQAADwAAAAAAAAABACAAAAAiAAAAZHJzL2Rvd25yZXYueG1s&#10;UEsBAhQAFAAAAAgAh07iQD093HD4AQAANgQAAA4AAAAAAAAAAQAgAAAAJwEAAGRycy9lMm9Eb2Mu&#10;eG1sUEsFBgAAAAAGAAYAWQEAAJEFAAAAAA==&#10;">
                <v:fill on="t" focussize="0,0"/>
                <v:stroke color="#FFFFFF" joinstyle="miter"/>
                <v:imagedata o:title=""/>
                <o:lock v:ext="edit" aspectratio="f"/>
                <v:textbox>
                  <w:txbxContent>
                    <w:p>
                      <w:pPr>
                        <w:rPr>
                          <w:rFonts w:hint="eastAsia"/>
                        </w:rPr>
                      </w:pPr>
                      <w:r>
                        <w:rPr>
                          <w:rFonts w:hint="eastAsia"/>
                        </w:rPr>
                        <w:t>协助指挥</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7456" behindDoc="0" locked="0" layoutInCell="1" allowOverlap="1">
                <wp:simplePos x="0" y="0"/>
                <wp:positionH relativeFrom="column">
                  <wp:posOffset>4800600</wp:posOffset>
                </wp:positionH>
                <wp:positionV relativeFrom="paragraph">
                  <wp:posOffset>3962400</wp:posOffset>
                </wp:positionV>
                <wp:extent cx="533400" cy="2179320"/>
                <wp:effectExtent l="5080" t="4445" r="13970" b="6985"/>
                <wp:wrapNone/>
                <wp:docPr id="9" name="Text Box 19"/>
                <wp:cNvGraphicFramePr/>
                <a:graphic xmlns:a="http://schemas.openxmlformats.org/drawingml/2006/main">
                  <a:graphicData uri="http://schemas.microsoft.com/office/word/2010/wordprocessingShape">
                    <wps:wsp>
                      <wps:cNvSpPr txBox="1"/>
                      <wps:spPr>
                        <a:xfrm>
                          <a:off x="0" y="0"/>
                          <a:ext cx="5334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南四湖水利管理局</w:t>
                            </w:r>
                          </w:p>
                        </w:txbxContent>
                      </wps:txbx>
                      <wps:bodyPr vert="eaVert" upright="1"/>
                    </wps:wsp>
                  </a:graphicData>
                </a:graphic>
              </wp:anchor>
            </w:drawing>
          </mc:Choice>
          <mc:Fallback>
            <w:pict>
              <v:shape id="Text Box 19" o:spid="_x0000_s1026" o:spt="202" type="#_x0000_t202" style="position:absolute;left:0pt;margin-left:378pt;margin-top:312pt;height:171.6pt;width:42pt;z-index:251667456;mso-width-relative:page;mso-height-relative:page;" fillcolor="#FFFFFF" filled="t" stroked="t" coordsize="21600,21600" o:gfxdata="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MxftkAAAALAQAADwAAAAAAAAABACAAAAAiAAAA&#10;ZHJzL2Rvd25yZXYueG1sUEsBAhQAFAAAAAgAh07iQNT4MpAGAgAARAQAAA4AAAAAAAAAAQAgAAAA&#10;KAEAAGRycy9lMm9Eb2MueG1sUEsFBgAAAAAGAAYAWQEAAKAFAAAAAA==&#10;">
                <v:fill on="t" focussize="0,0"/>
                <v:stroke color="#000000" joinstyle="miter"/>
                <v:imagedata o:title=""/>
                <o:lock v:ext="edit" aspectratio="f"/>
                <v:textbox style="layout-flow:vertical-ideographic;">
                  <w:txbxContent>
                    <w:p>
                      <w:pPr>
                        <w:rPr>
                          <w:rFonts w:hint="eastAsia" w:ascii="仿宋_GB2312" w:eastAsia="仿宋_GB2312"/>
                          <w:sz w:val="32"/>
                          <w:szCs w:val="32"/>
                        </w:rPr>
                      </w:pPr>
                      <w:r>
                        <w:rPr>
                          <w:rFonts w:hint="eastAsia" w:ascii="仿宋_GB2312" w:eastAsia="仿宋_GB2312"/>
                          <w:sz w:val="32"/>
                          <w:szCs w:val="32"/>
                        </w:rPr>
                        <w:t>南四湖水利管理局</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5648" behindDoc="0" locked="0" layoutInCell="1" allowOverlap="1">
                <wp:simplePos x="0" y="0"/>
                <wp:positionH relativeFrom="column">
                  <wp:posOffset>5067300</wp:posOffset>
                </wp:positionH>
                <wp:positionV relativeFrom="paragraph">
                  <wp:posOffset>1783080</wp:posOffset>
                </wp:positionV>
                <wp:extent cx="635" cy="2179320"/>
                <wp:effectExtent l="4445" t="0" r="13970" b="11430"/>
                <wp:wrapNone/>
                <wp:docPr id="17" name="Line 33"/>
                <wp:cNvGraphicFramePr/>
                <a:graphic xmlns:a="http://schemas.openxmlformats.org/drawingml/2006/main">
                  <a:graphicData uri="http://schemas.microsoft.com/office/word/2010/wordprocessingShape">
                    <wps:wsp>
                      <wps:cNvSpPr/>
                      <wps:spPr>
                        <a:xfrm>
                          <a:off x="0" y="0"/>
                          <a:ext cx="635" cy="21793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3" o:spid="_x0000_s1026" o:spt="20" style="position:absolute;left:0pt;margin-left:399pt;margin-top:140.4pt;height:171.6pt;width:0.05pt;z-index:251675648;mso-width-relative:page;mso-height-relative:page;" filled="f" stroked="t" coordsize="21600,21600" o:gfxdata="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2Gxu02AAAAAsBAAAP&#10;AAAAAAAAAAEAIAAAACIAAABkcnMvZG93bnJldi54bWxQSwECFAAUAAAACACHTuJA2GgY1t8BAADd&#10;AwAADgAAAAAAAAABACAAAAAnAQAAZHJzL2Uyb0RvYy54bWxQSwUGAAAAAAYABgBZAQAAeAU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4624" behindDoc="0" locked="0" layoutInCell="1" allowOverlap="1">
                <wp:simplePos x="0" y="0"/>
                <wp:positionH relativeFrom="column">
                  <wp:posOffset>5067300</wp:posOffset>
                </wp:positionH>
                <wp:positionV relativeFrom="paragraph">
                  <wp:posOffset>693420</wp:posOffset>
                </wp:positionV>
                <wp:extent cx="635" cy="594360"/>
                <wp:effectExtent l="4445" t="0" r="13970" b="15240"/>
                <wp:wrapNone/>
                <wp:docPr id="16" name="Line 32"/>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2" o:spid="_x0000_s1026" o:spt="20" style="position:absolute;left:0pt;margin-left:399pt;margin-top:54.6pt;height:46.8pt;width:0.05pt;z-index:251674624;mso-width-relative:page;mso-height-relative:page;" filled="f" stroked="t" coordsize="21600,21600" o:gfxdata="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WxFjtcAAAALAQAADwAA&#10;AAAAAAABACAAAAAiAAAAZHJzL2Rvd25yZXYueG1sUEsBAhQAFAAAAAgAh07iQCFviWveAQAA3AMA&#10;AA4AAAAAAAAAAQAgAAAAJgEAAGRycy9lMm9Eb2MueG1sUEsFBgAAAAAGAAYAWQEAAHYFA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3600" behindDoc="0" locked="0" layoutInCell="1" allowOverlap="1">
                <wp:simplePos x="0" y="0"/>
                <wp:positionH relativeFrom="column">
                  <wp:posOffset>2333625</wp:posOffset>
                </wp:positionH>
                <wp:positionV relativeFrom="paragraph">
                  <wp:posOffset>1584960</wp:posOffset>
                </wp:positionV>
                <wp:extent cx="1866900" cy="0"/>
                <wp:effectExtent l="0" t="0" r="0" b="0"/>
                <wp:wrapNone/>
                <wp:docPr id="15" name="Line 31"/>
                <wp:cNvGraphicFramePr/>
                <a:graphic xmlns:a="http://schemas.openxmlformats.org/drawingml/2006/main">
                  <a:graphicData uri="http://schemas.microsoft.com/office/word/2010/wordprocessingShape">
                    <wps:wsp>
                      <wps:cNvSpPr/>
                      <wps:spPr>
                        <a:xfrm>
                          <a:off x="0" y="0"/>
                          <a:ext cx="1866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1" o:spid="_x0000_s1026" o:spt="20" style="position:absolute;left:0pt;margin-left:183.75pt;margin-top:124.8pt;height:0pt;width:147pt;z-index:251673600;mso-width-relative:page;mso-height-relative:page;" filled="f" stroked="t" coordsize="21600,21600" o:gfxdata="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F4EYtcAAAALAQAADwAAAAAA&#10;AAABACAAAAAiAAAAZHJzL2Rvd25yZXYueG1sUEsBAhQAFAAAAAgAh07iQL8acjPbAQAA2wMAAA4A&#10;AAAAAAAAAQAgAAAAJgEAAGRycy9lMm9Eb2MueG1sUEsFBgAAAAAGAAYAWQEAAHMFA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2576" behindDoc="0" locked="0" layoutInCell="1" allowOverlap="1">
                <wp:simplePos x="0" y="0"/>
                <wp:positionH relativeFrom="column">
                  <wp:posOffset>1133475</wp:posOffset>
                </wp:positionH>
                <wp:positionV relativeFrom="paragraph">
                  <wp:posOffset>1584960</wp:posOffset>
                </wp:positionV>
                <wp:extent cx="1200150" cy="0"/>
                <wp:effectExtent l="0" t="0" r="0" b="0"/>
                <wp:wrapNone/>
                <wp:docPr id="14" name="Line 30"/>
                <wp:cNvGraphicFramePr/>
                <a:graphic xmlns:a="http://schemas.openxmlformats.org/drawingml/2006/main">
                  <a:graphicData uri="http://schemas.microsoft.com/office/word/2010/wordprocessingShape">
                    <wps:wsp>
                      <wps:cNvSpPr/>
                      <wps:spPr>
                        <a:xfrm>
                          <a:off x="0" y="0"/>
                          <a:ext cx="1200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0" o:spid="_x0000_s1026" o:spt="20" style="position:absolute;left:0pt;margin-left:89.25pt;margin-top:124.8pt;height:0pt;width:94.5pt;z-index:251672576;mso-width-relative:page;mso-height-relative:page;" filled="f" stroked="t" coordsize="21600,21600" o:gfxdata="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MQWQbXAAAACwEAAA8AAAAAAAAA&#10;AQAgAAAAIgAAAGRycy9kb3ducmV2LnhtbFBLAQIUABQAAAAIAIdO4kAq1MGn2QEAANsDAAAOAAAA&#10;AAAAAAEAIAAAACYBAABkcnMvZTJvRG9jLnhtbFBLBQYAAAAABgAGAFkBAABx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1552" behindDoc="0" locked="0" layoutInCell="1" allowOverlap="1">
                <wp:simplePos x="0" y="0"/>
                <wp:positionH relativeFrom="column">
                  <wp:posOffset>2066925</wp:posOffset>
                </wp:positionH>
                <wp:positionV relativeFrom="paragraph">
                  <wp:posOffset>5052060</wp:posOffset>
                </wp:positionV>
                <wp:extent cx="533400" cy="0"/>
                <wp:effectExtent l="0" t="0" r="0" b="0"/>
                <wp:wrapNone/>
                <wp:docPr id="13" name="Line 29"/>
                <wp:cNvGraphicFramePr/>
                <a:graphic xmlns:a="http://schemas.openxmlformats.org/drawingml/2006/main">
                  <a:graphicData uri="http://schemas.microsoft.com/office/word/2010/wordprocessingShape">
                    <wps:wsp>
                      <wps:cNvSpPr/>
                      <wps:spPr>
                        <a:xfrm>
                          <a:off x="0" y="0"/>
                          <a:ext cx="533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margin-left:162.75pt;margin-top:397.8pt;height:0pt;width:42pt;z-index:251671552;mso-width-relative:page;mso-height-relative:page;" filled="f" stroked="t" coordsize="21600,21600" o:gfxdata="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EMdadcAAAALAQAADwAAAAAA&#10;AAABACAAAAAiAAAAZHJzL2Rvd25yZXYueG1sUEsBAhQAFAAAAAgAh07iQKMGCiPbAQAA2gMAAA4A&#10;AAAAAAAAAQAgAAAAJgEAAGRycy9lMm9Eb2MueG1sUEsFBgAAAAAGAAYAWQEAAHMFA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0528" behindDoc="0" locked="0" layoutInCell="1" allowOverlap="1">
                <wp:simplePos x="0" y="0"/>
                <wp:positionH relativeFrom="column">
                  <wp:posOffset>2867025</wp:posOffset>
                </wp:positionH>
                <wp:positionV relativeFrom="paragraph">
                  <wp:posOffset>3070860</wp:posOffset>
                </wp:positionV>
                <wp:extent cx="635" cy="891540"/>
                <wp:effectExtent l="4445" t="0" r="13970" b="3810"/>
                <wp:wrapNone/>
                <wp:docPr id="12" name="Line 24"/>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 o:spid="_x0000_s1026" o:spt="20" style="position:absolute;left:0pt;margin-left:225.75pt;margin-top:241.8pt;height:70.2pt;width:0.05pt;z-index:251670528;mso-width-relative:page;mso-height-relative:page;" filled="f" stroked="t" coordsize="21600,21600" o:gfxdata="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zmjJLYAAAACwEAAA8A&#10;AAAAAAAAAQAgAAAAIgAAAGRycy9kb3ducmV2LnhtbFBLAQIUABQAAAAIAIdO4kBO/BrT3gEAANwD&#10;AAAOAAAAAAAAAAEAIAAAACcBAABkcnMvZTJvRG9jLnhtbFBLBQYAAAAABgAGAFkBAAB3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9504" behindDoc="0" locked="0" layoutInCell="1" allowOverlap="1">
                <wp:simplePos x="0" y="0"/>
                <wp:positionH relativeFrom="column">
                  <wp:posOffset>1800225</wp:posOffset>
                </wp:positionH>
                <wp:positionV relativeFrom="paragraph">
                  <wp:posOffset>3070860</wp:posOffset>
                </wp:positionV>
                <wp:extent cx="635" cy="891540"/>
                <wp:effectExtent l="4445" t="0" r="13970" b="3810"/>
                <wp:wrapNone/>
                <wp:docPr id="11" name="Line 23"/>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3" o:spid="_x0000_s1026" o:spt="20" style="position:absolute;left:0pt;margin-left:141.75pt;margin-top:241.8pt;height:70.2pt;width:0.05pt;z-index:251669504;mso-width-relative:page;mso-height-relative:page;" filled="f" stroked="t" coordsize="21600,21600" o:gfxdata="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SQDj3YAAAACwEAAA8A&#10;AAAAAAAAAQAgAAAAIgAAAGRycy9kb3ducmV2LnhtbFBLAQIUABQAAAAIAIdO4kAzYknt3gEAANwD&#10;AAAOAAAAAAAAAAEAIAAAACcBAABkcnMvZTJvRG9jLnhtbFBLBQYAAAAABgAGAFkBAAB3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8480" behindDoc="0" locked="0" layoutInCell="1" allowOverlap="1">
                <wp:simplePos x="0" y="0"/>
                <wp:positionH relativeFrom="column">
                  <wp:posOffset>2333625</wp:posOffset>
                </wp:positionH>
                <wp:positionV relativeFrom="paragraph">
                  <wp:posOffset>693420</wp:posOffset>
                </wp:positionV>
                <wp:extent cx="635" cy="1882140"/>
                <wp:effectExtent l="4445" t="0" r="13970" b="3810"/>
                <wp:wrapNone/>
                <wp:docPr id="10" name="Line 22"/>
                <wp:cNvGraphicFramePr/>
                <a:graphic xmlns:a="http://schemas.openxmlformats.org/drawingml/2006/main">
                  <a:graphicData uri="http://schemas.microsoft.com/office/word/2010/wordprocessingShape">
                    <wps:wsp>
                      <wps:cNvSpPr/>
                      <wps:spPr>
                        <a:xfrm>
                          <a:off x="0" y="0"/>
                          <a:ext cx="635" cy="1882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2" o:spid="_x0000_s1026" o:spt="20" style="position:absolute;left:0pt;margin-left:183.75pt;margin-top:54.6pt;height:148.2pt;width:0.05pt;z-index:251668480;mso-width-relative:page;mso-height-relative:page;" filled="f" stroked="t" coordsize="21600,21600" o:gfxdata="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1vR9LYAAAACwEAAA8A&#10;AAAAAAAAAQAgAAAAIgAAAGRycy9kb3ducmV2LnhtbFBLAQIUABQAAAAIAIdO4kCoX0NY3gEAAN0D&#10;AAAOAAAAAAAAAAEAIAAAACcBAABkcnMvZTJvRG9jLnhtbFBLBQYAAAAABgAGAFkBAAB3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6432" behindDoc="0" locked="0" layoutInCell="1" allowOverlap="1">
                <wp:simplePos x="0" y="0"/>
                <wp:positionH relativeFrom="column">
                  <wp:posOffset>4200525</wp:posOffset>
                </wp:positionH>
                <wp:positionV relativeFrom="paragraph">
                  <wp:posOffset>1287780</wp:posOffset>
                </wp:positionV>
                <wp:extent cx="1866900" cy="495300"/>
                <wp:effectExtent l="5080" t="4445" r="13970" b="14605"/>
                <wp:wrapNone/>
                <wp:docPr id="8" name="Text Box 18"/>
                <wp:cNvGraphicFramePr/>
                <a:graphic xmlns:a="http://schemas.openxmlformats.org/drawingml/2006/main">
                  <a:graphicData uri="http://schemas.microsoft.com/office/word/2010/wordprocessingShape">
                    <wps:wsp>
                      <wps:cNvSpPr txBox="1"/>
                      <wps:spPr>
                        <a:xfrm>
                          <a:off x="0" y="0"/>
                          <a:ext cx="1866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沂沭泗水利管理局</w:t>
                            </w:r>
                          </w:p>
                        </w:txbxContent>
                      </wps:txbx>
                      <wps:bodyPr upright="1"/>
                    </wps:wsp>
                  </a:graphicData>
                </a:graphic>
              </wp:anchor>
            </w:drawing>
          </mc:Choice>
          <mc:Fallback>
            <w:pict>
              <v:shape id="Text Box 18" o:spid="_x0000_s1026" o:spt="202" type="#_x0000_t202" style="position:absolute;left:0pt;margin-left:330.75pt;margin-top:101.4pt;height:39pt;width:147pt;z-index:251666432;mso-width-relative:page;mso-height-relative:page;" fillcolor="#FFFFFF" filled="t" stroked="t" coordsize="21600,21600" o:gfxdata="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Alk32AAAAAsBAAAPAAAAAAAAAAEAIAAAACIAAABkcnMvZG93bnJldi54&#10;bWxQSwECFAAUAAAACACHTuJAIDXWjvoBAAA2BAAADgAAAAAAAAABACAAAAAnAQAAZHJzL2Uyb0Rv&#10;Yy54bWxQSwUGAAAAAAYABgBZAQAAkwU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沂沭泗水利管理局</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5408" behindDoc="0" locked="0" layoutInCell="1" allowOverlap="1">
                <wp:simplePos x="0" y="0"/>
                <wp:positionH relativeFrom="column">
                  <wp:posOffset>4467225</wp:posOffset>
                </wp:positionH>
                <wp:positionV relativeFrom="paragraph">
                  <wp:posOffset>198120</wp:posOffset>
                </wp:positionV>
                <wp:extent cx="1266825" cy="495300"/>
                <wp:effectExtent l="4445" t="4445" r="5080" b="14605"/>
                <wp:wrapNone/>
                <wp:docPr id="7" name="Text Box 17"/>
                <wp:cNvGraphicFramePr/>
                <a:graphic xmlns:a="http://schemas.openxmlformats.org/drawingml/2006/main">
                  <a:graphicData uri="http://schemas.microsoft.com/office/word/2010/wordprocessingShape">
                    <wps:wsp>
                      <wps:cNvSpPr txBox="1"/>
                      <wps:spPr>
                        <a:xfrm>
                          <a:off x="0" y="0"/>
                          <a:ext cx="12668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32"/>
                                <w:szCs w:val="32"/>
                              </w:rPr>
                            </w:pPr>
                            <w:r>
                              <w:rPr>
                                <w:rFonts w:hint="eastAsia" w:ascii="仿宋_GB2312" w:eastAsia="仿宋_GB2312"/>
                                <w:sz w:val="32"/>
                                <w:szCs w:val="32"/>
                              </w:rPr>
                              <w:t>淮河防总</w:t>
                            </w:r>
                          </w:p>
                        </w:txbxContent>
                      </wps:txbx>
                      <wps:bodyPr upright="1"/>
                    </wps:wsp>
                  </a:graphicData>
                </a:graphic>
              </wp:anchor>
            </w:drawing>
          </mc:Choice>
          <mc:Fallback>
            <w:pict>
              <v:shape id="Text Box 17" o:spid="_x0000_s1026" o:spt="202" type="#_x0000_t202" style="position:absolute;left:0pt;margin-left:351.75pt;margin-top:15.6pt;height:39pt;width:99.75pt;z-index:251665408;mso-width-relative:page;mso-height-relative:page;" fillcolor="#FFFFFF" filled="t" stroked="t" coordsize="21600,21600" o:gfxdata="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xx1dNkAAAAKAQAADwAAAAAAAAABACAAAAAiAAAAZHJzL2Rvd25y&#10;ZXYueG1sUEsBAhQAFAAAAAgAh07iQG++C2j9AQAANgQAAA4AAAAAAAAAAQAgAAAAKAEAAGRycy9l&#10;Mm9Eb2MueG1sUEsFBgAAAAAGAAYAWQEAAJcFAAAAAA==&#10;">
                <v:fill on="t" focussize="0,0"/>
                <v:stroke color="#000000" joinstyle="miter"/>
                <v:imagedata o:title=""/>
                <o:lock v:ext="edit" aspectratio="f"/>
                <v:textbox>
                  <w:txbxContent>
                    <w:p>
                      <w:pPr>
                        <w:jc w:val="center"/>
                        <w:rPr>
                          <w:rFonts w:hint="eastAsia" w:ascii="仿宋_GB2312" w:eastAsia="仿宋_GB2312"/>
                          <w:sz w:val="32"/>
                          <w:szCs w:val="32"/>
                        </w:rPr>
                      </w:pPr>
                      <w:r>
                        <w:rPr>
                          <w:rFonts w:hint="eastAsia" w:ascii="仿宋_GB2312" w:eastAsia="仿宋_GB2312"/>
                          <w:sz w:val="32"/>
                          <w:szCs w:val="32"/>
                        </w:rPr>
                        <w:t>淮河防总</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3360" behindDoc="0" locked="0" layoutInCell="1" allowOverlap="1">
                <wp:simplePos x="0" y="0"/>
                <wp:positionH relativeFrom="column">
                  <wp:posOffset>1533525</wp:posOffset>
                </wp:positionH>
                <wp:positionV relativeFrom="paragraph">
                  <wp:posOffset>3962400</wp:posOffset>
                </wp:positionV>
                <wp:extent cx="533400" cy="2179320"/>
                <wp:effectExtent l="5080" t="4445" r="13970" b="6985"/>
                <wp:wrapNone/>
                <wp:docPr id="5" name="Text Box 15"/>
                <wp:cNvGraphicFramePr/>
                <a:graphic xmlns:a="http://schemas.openxmlformats.org/drawingml/2006/main">
                  <a:graphicData uri="http://schemas.microsoft.com/office/word/2010/wordprocessingShape">
                    <wps:wsp>
                      <wps:cNvSpPr txBox="1"/>
                      <wps:spPr>
                        <a:xfrm>
                          <a:off x="0" y="0"/>
                          <a:ext cx="5334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滕州市防指</w:t>
                            </w:r>
                          </w:p>
                        </w:txbxContent>
                      </wps:txbx>
                      <wps:bodyPr vert="eaVert" upright="1"/>
                    </wps:wsp>
                  </a:graphicData>
                </a:graphic>
              </wp:anchor>
            </w:drawing>
          </mc:Choice>
          <mc:Fallback>
            <w:pict>
              <v:shape id="Text Box 15" o:spid="_x0000_s1026" o:spt="202" type="#_x0000_t202" style="position:absolute;left:0pt;margin-left:120.75pt;margin-top:312pt;height:171.6pt;width:42pt;z-index:251663360;mso-width-relative:page;mso-height-relative:page;" fillcolor="#FFFFFF" filled="t" stroked="t" coordsize="21600,21600" o:gfxdata="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AT13NkAAAALAQAADwAAAAAAAAABACAAAAAiAAAA&#10;ZHJzL2Rvd25yZXYueG1sUEsBAhQAFAAAAAgAh07iQC6XKcgGAgAARAQAAA4AAAAAAAAAAQAgAAAA&#10;KAEAAGRycy9lMm9Eb2MueG1sUEsFBgAAAAAGAAYAWQEAAKAFAAAAAA==&#10;">
                <v:fill on="t" focussize="0,0"/>
                <v:stroke color="#000000" joinstyle="miter"/>
                <v:imagedata o:title=""/>
                <o:lock v:ext="edit" aspectratio="f"/>
                <v:textbox style="layout-flow:vertical-ideographic;">
                  <w:txbxContent>
                    <w:p>
                      <w:pPr>
                        <w:rPr>
                          <w:rFonts w:hint="eastAsia" w:ascii="仿宋_GB2312" w:eastAsia="仿宋_GB2312"/>
                          <w:sz w:val="32"/>
                          <w:szCs w:val="32"/>
                        </w:rPr>
                      </w:pPr>
                      <w:r>
                        <w:rPr>
                          <w:rFonts w:hint="eastAsia" w:ascii="仿宋_GB2312" w:eastAsia="仿宋_GB2312"/>
                          <w:sz w:val="32"/>
                          <w:szCs w:val="32"/>
                        </w:rPr>
                        <w:t>滕州市防指</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4384" behindDoc="0" locked="0" layoutInCell="1" allowOverlap="1">
                <wp:simplePos x="0" y="0"/>
                <wp:positionH relativeFrom="column">
                  <wp:posOffset>2600325</wp:posOffset>
                </wp:positionH>
                <wp:positionV relativeFrom="paragraph">
                  <wp:posOffset>3962400</wp:posOffset>
                </wp:positionV>
                <wp:extent cx="533400" cy="2179320"/>
                <wp:effectExtent l="5080" t="4445" r="13970" b="6985"/>
                <wp:wrapNone/>
                <wp:docPr id="6" name="Text Box 16"/>
                <wp:cNvGraphicFramePr/>
                <a:graphic xmlns:a="http://schemas.openxmlformats.org/drawingml/2006/main">
                  <a:graphicData uri="http://schemas.microsoft.com/office/word/2010/wordprocessingShape">
                    <wps:wsp>
                      <wps:cNvSpPr txBox="1"/>
                      <wps:spPr>
                        <a:xfrm>
                          <a:off x="0" y="0"/>
                          <a:ext cx="5334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枣庄市湖东堤管理局</w:t>
                            </w:r>
                          </w:p>
                        </w:txbxContent>
                      </wps:txbx>
                      <wps:bodyPr vert="eaVert" upright="1"/>
                    </wps:wsp>
                  </a:graphicData>
                </a:graphic>
              </wp:anchor>
            </w:drawing>
          </mc:Choice>
          <mc:Fallback>
            <w:pict>
              <v:shape id="Text Box 16" o:spid="_x0000_s1026" o:spt="202" type="#_x0000_t202" style="position:absolute;left:0pt;margin-left:204.75pt;margin-top:312pt;height:171.6pt;width:42pt;z-index:251664384;mso-width-relative:page;mso-height-relative:page;" fillcolor="#FFFFFF" filled="t" stroked="t" coordsize="21600,21600" o:gfxdata="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K4fZAAAACwEAAA8AAAAAAAAAAQAgAAAAIgAA&#10;AGRycy9kb3ducmV2LnhtbFBLAQIUABQAAAAIAIdO4kDwz5czBwIAAEQEAAAOAAAAAAAAAAEAIAAA&#10;ACgBAABkcnMvZTJvRG9jLnhtbFBLBQYAAAAABgAGAFkBAAChBQAAAAA=&#10;">
                <v:fill on="t" focussize="0,0"/>
                <v:stroke color="#000000" joinstyle="miter"/>
                <v:imagedata o:title=""/>
                <o:lock v:ext="edit" aspectratio="f"/>
                <v:textbox style="layout-flow:vertical-ideographic;">
                  <w:txbxContent>
                    <w:p>
                      <w:pPr>
                        <w:rPr>
                          <w:rFonts w:hint="eastAsia" w:ascii="仿宋_GB2312" w:eastAsia="仿宋_GB2312"/>
                          <w:sz w:val="32"/>
                          <w:szCs w:val="32"/>
                        </w:rPr>
                      </w:pPr>
                      <w:r>
                        <w:rPr>
                          <w:rFonts w:hint="eastAsia" w:ascii="仿宋_GB2312" w:eastAsia="仿宋_GB2312"/>
                          <w:sz w:val="32"/>
                          <w:szCs w:val="32"/>
                        </w:rPr>
                        <w:t>枣庄市湖东堤管理局</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2336" behindDoc="0" locked="0" layoutInCell="1" allowOverlap="1">
                <wp:simplePos x="0" y="0"/>
                <wp:positionH relativeFrom="column">
                  <wp:posOffset>1666875</wp:posOffset>
                </wp:positionH>
                <wp:positionV relativeFrom="paragraph">
                  <wp:posOffset>2575560</wp:posOffset>
                </wp:positionV>
                <wp:extent cx="1333500" cy="495300"/>
                <wp:effectExtent l="4445" t="4445" r="14605" b="14605"/>
                <wp:wrapNone/>
                <wp:docPr id="4" name="Text Box 12"/>
                <wp:cNvGraphicFramePr/>
                <a:graphic xmlns:a="http://schemas.openxmlformats.org/drawingml/2006/main">
                  <a:graphicData uri="http://schemas.microsoft.com/office/word/2010/wordprocessingShape">
                    <wps:wsp>
                      <wps:cNvSpPr txBox="1"/>
                      <wps:spPr>
                        <a:xfrm>
                          <a:off x="0" y="0"/>
                          <a:ext cx="1333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枣庄市防指</w:t>
                            </w:r>
                          </w:p>
                        </w:txbxContent>
                      </wps:txbx>
                      <wps:bodyPr upright="1"/>
                    </wps:wsp>
                  </a:graphicData>
                </a:graphic>
              </wp:anchor>
            </w:drawing>
          </mc:Choice>
          <mc:Fallback>
            <w:pict>
              <v:shape id="Text Box 12" o:spid="_x0000_s1026" o:spt="202" type="#_x0000_t202" style="position:absolute;left:0pt;margin-left:131.25pt;margin-top:202.8pt;height:39pt;width:105pt;z-index:251662336;mso-width-relative:page;mso-height-relative:page;" fillcolor="#FFFFFF" filled="t" stroked="t" coordsize="21600,21600" o:gfxdata="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0loXbZAAAACwEAAA8AAAAAAAAAAQAgAAAAIgAAAGRycy9kb3ducmV2&#10;LnhtbFBLAQIUABQAAAAIAIdO4kDh4Dyp+wEAADYEAAAOAAAAAAAAAAEAIAAAACgBAABkcnMvZTJv&#10;RG9jLnhtbFBLBQYAAAAABgAGAFkBAACVBQ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枣庄市防指</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1312" behindDoc="0" locked="0" layoutInCell="1" allowOverlap="1">
                <wp:simplePos x="0" y="0"/>
                <wp:positionH relativeFrom="column">
                  <wp:posOffset>-533400</wp:posOffset>
                </wp:positionH>
                <wp:positionV relativeFrom="paragraph">
                  <wp:posOffset>1188720</wp:posOffset>
                </wp:positionV>
                <wp:extent cx="1666875" cy="891540"/>
                <wp:effectExtent l="4445" t="4445" r="5080" b="18415"/>
                <wp:wrapNone/>
                <wp:docPr id="3" name="Text Box 11"/>
                <wp:cNvGraphicFramePr/>
                <a:graphic xmlns:a="http://schemas.openxmlformats.org/drawingml/2006/main">
                  <a:graphicData uri="http://schemas.microsoft.com/office/word/2010/wordprocessingShape">
                    <wps:wsp>
                      <wps:cNvSpPr txBox="1"/>
                      <wps:spPr>
                        <a:xfrm>
                          <a:off x="0" y="0"/>
                          <a:ext cx="166687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山东省淮河流域</w:t>
                            </w:r>
                          </w:p>
                          <w:p>
                            <w:pPr>
                              <w:rPr>
                                <w:rFonts w:hint="eastAsia" w:ascii="仿宋_GB2312" w:eastAsia="仿宋_GB2312"/>
                                <w:sz w:val="32"/>
                                <w:szCs w:val="32"/>
                              </w:rPr>
                            </w:pPr>
                            <w:r>
                              <w:rPr>
                                <w:rFonts w:hint="eastAsia" w:ascii="仿宋_GB2312" w:eastAsia="仿宋_GB2312"/>
                                <w:sz w:val="32"/>
                                <w:szCs w:val="32"/>
                              </w:rPr>
                              <w:t>防汛抗旱指挥部</w:t>
                            </w:r>
                          </w:p>
                        </w:txbxContent>
                      </wps:txbx>
                      <wps:bodyPr upright="1"/>
                    </wps:wsp>
                  </a:graphicData>
                </a:graphic>
              </wp:anchor>
            </w:drawing>
          </mc:Choice>
          <mc:Fallback>
            <w:pict>
              <v:shape id="Text Box 11" o:spid="_x0000_s1026" o:spt="202" type="#_x0000_t202" style="position:absolute;left:0pt;margin-left:-42pt;margin-top:93.6pt;height:70.2pt;width:131.25pt;z-index:251661312;mso-width-relative:page;mso-height-relative:page;" fillcolor="#FFFFFF" filled="t" stroked="t" coordsize="21600,21600" o:gfxdata="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XbRm2gAAAAsBAAAPAAAAAAAAAAEAIAAAACIAAABkcnMvZG93&#10;bnJldi54bWxQSwECFAAUAAAACACHTuJAkhiSh/4BAAA2BAAADgAAAAAAAAABACAAAAApAQAAZHJz&#10;L2Uyb0RvYy54bWxQSwUGAAAAAAYABgBZAQAAmQU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山东省淮河流域</w:t>
                      </w:r>
                    </w:p>
                    <w:p>
                      <w:pPr>
                        <w:rPr>
                          <w:rFonts w:hint="eastAsia" w:ascii="仿宋_GB2312" w:eastAsia="仿宋_GB2312"/>
                          <w:sz w:val="32"/>
                          <w:szCs w:val="32"/>
                        </w:rPr>
                      </w:pPr>
                      <w:r>
                        <w:rPr>
                          <w:rFonts w:hint="eastAsia" w:ascii="仿宋_GB2312" w:eastAsia="仿宋_GB2312"/>
                          <w:sz w:val="32"/>
                          <w:szCs w:val="32"/>
                        </w:rPr>
                        <w:t>防汛抗旱指挥部</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0288" behindDoc="0" locked="0" layoutInCell="1" allowOverlap="1">
                <wp:simplePos x="0" y="0"/>
                <wp:positionH relativeFrom="column">
                  <wp:posOffset>1066800</wp:posOffset>
                </wp:positionH>
                <wp:positionV relativeFrom="paragraph">
                  <wp:posOffset>198120</wp:posOffset>
                </wp:positionV>
                <wp:extent cx="2466975" cy="495300"/>
                <wp:effectExtent l="5080" t="4445" r="4445" b="14605"/>
                <wp:wrapNone/>
                <wp:docPr id="2" name="Text Box 10"/>
                <wp:cNvGraphicFramePr/>
                <a:graphic xmlns:a="http://schemas.openxmlformats.org/drawingml/2006/main">
                  <a:graphicData uri="http://schemas.microsoft.com/office/word/2010/wordprocessingShape">
                    <wps:wsp>
                      <wps:cNvSpPr txBox="1"/>
                      <wps:spPr>
                        <a:xfrm>
                          <a:off x="0" y="0"/>
                          <a:ext cx="24669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山东省防汛抗旱总指挥部</w:t>
                            </w:r>
                          </w:p>
                        </w:txbxContent>
                      </wps:txbx>
                      <wps:bodyPr upright="1"/>
                    </wps:wsp>
                  </a:graphicData>
                </a:graphic>
              </wp:anchor>
            </w:drawing>
          </mc:Choice>
          <mc:Fallback>
            <w:pict>
              <v:shape id="Text Box 10" o:spid="_x0000_s1026" o:spt="202" type="#_x0000_t202" style="position:absolute;left:0pt;margin-left:84pt;margin-top:15.6pt;height:39pt;width:194.25pt;z-index:251660288;mso-width-relative:page;mso-height-relative:page;" fillcolor="#FFFFFF" filled="t" stroked="t" coordsize="21600,21600" o:gfxdata="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jFdv2AAAAAoBAAAPAAAAAAAAAAEAIAAAACIAAABkcnMvZG93bnJl&#10;di54bWxQSwECFAAUAAAACACHTuJAKnxpg/0BAAA2BAAADgAAAAAAAAABACAAAAAnAQAAZHJzL2Uy&#10;b0RvYy54bWxQSwUGAAAAAAYABgBZAQAAlgU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山东省防汛抗旱总指挥部</w:t>
                      </w:r>
                    </w:p>
                  </w:txbxContent>
                </v:textbox>
              </v:shape>
            </w:pict>
          </mc:Fallback>
        </mc:AlternateContent>
      </w: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napToGrid w:val="0"/>
        <w:spacing w:line="600" w:lineRule="exact"/>
        <w:outlineLvl w:val="0"/>
        <w:rPr>
          <w:rFonts w:hint="eastAsia" w:ascii="黑体" w:hAnsi="黑体" w:eastAsia="黑体"/>
          <w:sz w:val="32"/>
          <w:szCs w:val="32"/>
        </w:rPr>
      </w:pPr>
      <w:r>
        <w:rPr>
          <w:rFonts w:hint="eastAsia" w:ascii="黑体" w:hAnsi="黑体" w:eastAsia="黑体"/>
          <w:sz w:val="32"/>
          <w:szCs w:val="32"/>
        </w:rPr>
        <w:t>附图2</w:t>
      </w:r>
    </w:p>
    <w:p>
      <w:pPr>
        <w:spacing w:beforeLines="100" w:afterLines="100"/>
        <w:outlineLvl w:val="0"/>
        <w:rPr>
          <w:rFonts w:hint="eastAsia"/>
        </w:rPr>
      </w:pPr>
      <w:r>
        <w:drawing>
          <wp:anchor distT="0" distB="0" distL="114300" distR="114300" simplePos="0" relativeHeight="251678720" behindDoc="0" locked="0" layoutInCell="1" allowOverlap="1">
            <wp:simplePos x="0" y="0"/>
            <wp:positionH relativeFrom="page">
              <wp:posOffset>908050</wp:posOffset>
            </wp:positionH>
            <wp:positionV relativeFrom="page">
              <wp:posOffset>1461135</wp:posOffset>
            </wp:positionV>
            <wp:extent cx="5743575" cy="7720965"/>
            <wp:effectExtent l="19050" t="0" r="9525" b="0"/>
            <wp:wrapNone/>
            <wp:docPr id="21" name="图片 2" descr="说明: 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说明: ff"/>
                    <pic:cNvPicPr>
                      <a:picLocks noChangeAspect="1" noChangeArrowheads="1"/>
                    </pic:cNvPicPr>
                  </pic:nvPicPr>
                  <pic:blipFill>
                    <a:blip r:embed="rId6"/>
                    <a:srcRect/>
                    <a:stretch>
                      <a:fillRect/>
                    </a:stretch>
                  </pic:blipFill>
                  <pic:spPr>
                    <a:xfrm>
                      <a:off x="0" y="0"/>
                      <a:ext cx="5743575" cy="7720965"/>
                    </a:xfrm>
                    <a:prstGeom prst="rect">
                      <a:avLst/>
                    </a:prstGeom>
                    <a:solidFill>
                      <a:srgbClr val="000000"/>
                    </a:solidFill>
                    <a:ln w="9525">
                      <a:noFill/>
                      <a:miter lim="800000"/>
                      <a:headEnd/>
                      <a:tailEnd/>
                    </a:ln>
                  </pic:spPr>
                </pic:pic>
              </a:graphicData>
            </a:graphic>
          </wp:anchor>
        </w:drawing>
      </w:r>
    </w:p>
    <w:p>
      <w:pPr>
        <w:spacing w:beforeLines="100" w:afterLines="100"/>
        <w:outlineLvl w:val="0"/>
        <w:rPr>
          <w:rFonts w:hint="eastAsia"/>
          <w:b/>
          <w:sz w:val="36"/>
          <w:szCs w:val="36"/>
        </w:rPr>
      </w:pPr>
      <w:r>
        <w:rPr>
          <w:rFonts w:hint="eastAsia" w:ascii="仿宋_GB2312" w:hAnsi="宋体" w:eastAsia="仿宋_GB2312"/>
          <w:b/>
          <w:sz w:val="36"/>
          <w:szCs w:val="36"/>
        </w:rPr>
        <w:t>附图2、</w:t>
      </w:r>
    </w:p>
    <w:p>
      <w:pPr>
        <w:spacing w:beforeLines="100" w:afterLines="100"/>
        <w:outlineLvl w:val="0"/>
      </w:pPr>
    </w:p>
    <w:p>
      <w:pPr>
        <w:tabs>
          <w:tab w:val="left" w:pos="1260"/>
        </w:tabs>
        <w:rPr>
          <w:rFonts w:hint="eastAsia"/>
        </w:rPr>
      </w:pPr>
      <w:r>
        <w:tab/>
      </w:r>
    </w:p>
    <w:p>
      <w:pPr>
        <w:spacing w:line="560" w:lineRule="exact"/>
        <w:rPr>
          <w:rFonts w:hint="eastAsia"/>
          <w:color w:val="000000"/>
        </w:rPr>
      </w:pPr>
    </w:p>
    <w:p>
      <w:pPr>
        <w:spacing w:line="560" w:lineRule="exact"/>
        <w:rPr>
          <w:rFonts w:hint="eastAsia"/>
          <w:color w:val="000000"/>
        </w:rPr>
      </w:pPr>
    </w:p>
    <w:p>
      <w:pPr>
        <w:spacing w:line="560" w:lineRule="exact"/>
        <w:rPr>
          <w:rFonts w:hint="eastAsia"/>
          <w:color w:val="000000"/>
        </w:rPr>
      </w:pPr>
    </w:p>
    <w:p>
      <w:pPr>
        <w:spacing w:line="560" w:lineRule="exact"/>
        <w:rPr>
          <w:rFonts w:hint="eastAsia"/>
          <w:color w:val="000000"/>
        </w:rPr>
      </w:pPr>
    </w:p>
    <w:p>
      <w:pPr>
        <w:spacing w:line="560" w:lineRule="exact"/>
        <w:rPr>
          <w:rFonts w:hint="eastAsia"/>
          <w:color w:val="000000"/>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napToGrid w:val="0"/>
        <w:spacing w:line="600" w:lineRule="exact"/>
        <w:outlineLvl w:val="0"/>
        <w:rPr>
          <w:rFonts w:hint="eastAsia" w:ascii="黑体" w:hAnsi="黑体" w:eastAsia="黑体"/>
          <w:sz w:val="32"/>
          <w:szCs w:val="32"/>
        </w:rPr>
      </w:pPr>
      <w:r>
        <w:rPr>
          <w:rFonts w:hint="eastAsia" w:ascii="黑体" w:hAnsi="黑体" w:eastAsia="黑体"/>
          <w:sz w:val="32"/>
          <w:szCs w:val="32"/>
        </w:rPr>
        <w:t>附图3</w:t>
      </w:r>
    </w:p>
    <w:p>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drawing>
          <wp:anchor distT="0" distB="0" distL="114300" distR="114300" simplePos="0" relativeHeight="251679744" behindDoc="0" locked="0" layoutInCell="1" allowOverlap="1">
            <wp:simplePos x="0" y="0"/>
            <wp:positionH relativeFrom="column">
              <wp:posOffset>-99060</wp:posOffset>
            </wp:positionH>
            <wp:positionV relativeFrom="paragraph">
              <wp:posOffset>56515</wp:posOffset>
            </wp:positionV>
            <wp:extent cx="5734050" cy="7816850"/>
            <wp:effectExtent l="19050" t="0" r="0" b="0"/>
            <wp:wrapNone/>
            <wp:docPr id="22" name="图片 22"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041"/>
                    <pic:cNvPicPr>
                      <a:picLocks noChangeAspect="1" noChangeArrowheads="1"/>
                    </pic:cNvPicPr>
                  </pic:nvPicPr>
                  <pic:blipFill>
                    <a:blip r:embed="rId7"/>
                    <a:srcRect l="8638" t="7219" r="5968" b="6548"/>
                    <a:stretch>
                      <a:fillRect/>
                    </a:stretch>
                  </pic:blipFill>
                  <pic:spPr>
                    <a:xfrm>
                      <a:off x="0" y="0"/>
                      <a:ext cx="5734050" cy="7816850"/>
                    </a:xfrm>
                    <a:prstGeom prst="rect">
                      <a:avLst/>
                    </a:prstGeom>
                    <a:noFill/>
                    <a:ln w="9525">
                      <a:noFill/>
                      <a:miter lim="800000"/>
                      <a:headEnd/>
                      <a:tailEnd/>
                    </a:ln>
                  </pic:spPr>
                </pic:pic>
              </a:graphicData>
            </a:graphic>
          </wp:anchor>
        </w:drawing>
      </w: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160" w:lineRule="exact"/>
        <w:ind w:firstLine="3465" w:firstLineChars="1650"/>
        <w:rPr>
          <w:rFonts w:hint="eastAsia" w:ascii="仿宋_GB2312" w:hAnsi="宋体" w:eastAsia="仿宋_GB2312"/>
          <w:sz w:val="32"/>
          <w:szCs w:val="32"/>
        </w:rPr>
      </w:pPr>
      <w:r>
        <w:rPr>
          <w:rFonts w:hint="eastAsia" w:ascii="仿宋_GB2312" w:eastAsia="仿宋_GB2312"/>
          <w:color w:val="000000"/>
        </w:rPr>
        <w:t xml:space="preserve">                                  </w:t>
      </w:r>
    </w:p>
    <w:p>
      <w:pPr>
        <w:spacing w:line="600" w:lineRule="exact"/>
        <w:jc w:val="center"/>
        <w:rPr>
          <w:rFonts w:hint="eastAsia" w:ascii="方正小标宋简体" w:eastAsia="方正小标宋简体"/>
          <w:sz w:val="44"/>
          <w:szCs w:val="4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Ђ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rFonts w:ascii="宋体"/>
        <w:sz w:val="24"/>
      </w:rPr>
    </w:pPr>
    <w:r>
      <w:rPr>
        <w:rFonts w:ascii="宋体"/>
        <w:sz w:val="24"/>
      </w:rPr>
      <w:fldChar w:fldCharType="begin"/>
    </w:r>
    <w:r>
      <w:rPr>
        <w:rFonts w:ascii="宋体"/>
        <w:sz w:val="24"/>
      </w:rPr>
      <w:instrText xml:space="preserve"> PAGE   \* MERGEFORMAT </w:instrText>
    </w:r>
    <w:r>
      <w:rPr>
        <w:rFonts w:ascii="宋体"/>
        <w:sz w:val="24"/>
      </w:rPr>
      <w:fldChar w:fldCharType="separate"/>
    </w:r>
    <w:r>
      <w:rPr>
        <w:rFonts w:ascii="宋体"/>
        <w:sz w:val="24"/>
        <w:lang w:val="zh-CN"/>
      </w:rPr>
      <w:t>-</w:t>
    </w:r>
    <w:r>
      <w:rPr>
        <w:rFonts w:ascii="宋体"/>
        <w:sz w:val="24"/>
      </w:rPr>
      <w:t xml:space="preserve"> 191 -</w:t>
    </w:r>
    <w:r>
      <w:rPr>
        <w:rFonts w:ascii="宋体"/>
        <w:sz w:val="24"/>
      </w:rPr>
      <w:fldChar w:fldCharType="end"/>
    </w:r>
  </w:p>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宋体"/>
        <w:sz w:val="24"/>
      </w:rPr>
    </w:pPr>
    <w:r>
      <w:rPr>
        <w:rFonts w:ascii="宋体"/>
        <w:sz w:val="24"/>
      </w:rPr>
      <w:fldChar w:fldCharType="begin"/>
    </w:r>
    <w:r>
      <w:rPr>
        <w:rFonts w:ascii="宋体"/>
        <w:sz w:val="24"/>
      </w:rPr>
      <w:instrText xml:space="preserve"> PAGE   \* MERGEFORMAT </w:instrText>
    </w:r>
    <w:r>
      <w:rPr>
        <w:rFonts w:ascii="宋体"/>
        <w:sz w:val="24"/>
      </w:rPr>
      <w:fldChar w:fldCharType="separate"/>
    </w:r>
    <w:r>
      <w:rPr>
        <w:rFonts w:ascii="宋体"/>
        <w:sz w:val="24"/>
        <w:lang w:val="zh-CN"/>
      </w:rPr>
      <w:t>-</w:t>
    </w:r>
    <w:r>
      <w:rPr>
        <w:rFonts w:ascii="宋体"/>
        <w:sz w:val="24"/>
      </w:rPr>
      <w:t xml:space="preserve"> 236 -</w:t>
    </w:r>
    <w:r>
      <w:rPr>
        <w:rFonts w:ascii="宋体"/>
        <w:sz w:val="24"/>
      </w:rPr>
      <w:fldChar w:fldCharType="end"/>
    </w:r>
  </w:p>
  <w:p>
    <w:pPr>
      <w:pStyle w:val="17"/>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0NGVlY2RjMDFkZWNkNzE4MWU2ZjE4NDE2ZmIzNDEifQ=="/>
  </w:docVars>
  <w:rsids>
    <w:rsidRoot w:val="0025717A"/>
    <w:rsid w:val="0025717A"/>
    <w:rsid w:val="004C2B39"/>
    <w:rsid w:val="006C4E82"/>
    <w:rsid w:val="00D758A2"/>
    <w:rsid w:val="12462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qFormat="1" w:unhideWhenUsed="0" w:uiPriority="0" w:semiHidden="0"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iPriority w:val="0"/>
    <w:pPr>
      <w:ind w:left="1260"/>
      <w:jc w:val="left"/>
    </w:pPr>
    <w:rPr>
      <w:sz w:val="18"/>
      <w:szCs w:val="18"/>
    </w:rPr>
  </w:style>
  <w:style w:type="paragraph" w:styleId="6">
    <w:name w:val="Normal Indent"/>
    <w:basedOn w:val="1"/>
    <w:uiPriority w:val="0"/>
    <w:pPr>
      <w:ind w:firstLine="420" w:firstLineChars="200"/>
    </w:pPr>
    <w:rPr>
      <w:szCs w:val="20"/>
    </w:rPr>
  </w:style>
  <w:style w:type="paragraph" w:styleId="7">
    <w:name w:val="Document Map"/>
    <w:basedOn w:val="1"/>
    <w:link w:val="37"/>
    <w:semiHidden/>
    <w:uiPriority w:val="0"/>
    <w:pPr>
      <w:shd w:val="clear" w:color="auto" w:fill="000080"/>
    </w:pPr>
  </w:style>
  <w:style w:type="paragraph" w:styleId="8">
    <w:name w:val="Body Text"/>
    <w:basedOn w:val="1"/>
    <w:link w:val="39"/>
    <w:uiPriority w:val="0"/>
    <w:rPr>
      <w:rFonts w:ascii="仿宋_GB2312" w:eastAsia="仿宋_GB2312"/>
      <w:sz w:val="30"/>
    </w:rPr>
  </w:style>
  <w:style w:type="paragraph" w:styleId="9">
    <w:name w:val="Body Text Indent"/>
    <w:basedOn w:val="1"/>
    <w:link w:val="44"/>
    <w:uiPriority w:val="0"/>
    <w:pPr>
      <w:spacing w:after="120"/>
      <w:ind w:left="420" w:leftChars="200"/>
    </w:pPr>
  </w:style>
  <w:style w:type="paragraph" w:styleId="10">
    <w:name w:val="toc 5"/>
    <w:basedOn w:val="1"/>
    <w:next w:val="1"/>
    <w:qFormat/>
    <w:uiPriority w:val="0"/>
    <w:pPr>
      <w:ind w:left="840"/>
      <w:jc w:val="left"/>
    </w:pPr>
    <w:rPr>
      <w:sz w:val="18"/>
      <w:szCs w:val="18"/>
    </w:rPr>
  </w:style>
  <w:style w:type="paragraph" w:styleId="11">
    <w:name w:val="toc 3"/>
    <w:basedOn w:val="1"/>
    <w:next w:val="1"/>
    <w:qFormat/>
    <w:uiPriority w:val="0"/>
    <w:pPr>
      <w:ind w:left="420"/>
      <w:jc w:val="left"/>
    </w:pPr>
    <w:rPr>
      <w:i/>
      <w:iCs/>
      <w:sz w:val="20"/>
      <w:szCs w:val="20"/>
    </w:rPr>
  </w:style>
  <w:style w:type="paragraph" w:styleId="12">
    <w:name w:val="Plain Text"/>
    <w:basedOn w:val="1"/>
    <w:link w:val="46"/>
    <w:qFormat/>
    <w:uiPriority w:val="0"/>
    <w:rPr>
      <w:rFonts w:ascii="宋体" w:hAnsi="Courier New" w:cs="Courier New"/>
      <w:szCs w:val="21"/>
    </w:rPr>
  </w:style>
  <w:style w:type="paragraph" w:styleId="13">
    <w:name w:val="toc 8"/>
    <w:basedOn w:val="1"/>
    <w:next w:val="1"/>
    <w:qFormat/>
    <w:uiPriority w:val="0"/>
    <w:pPr>
      <w:ind w:left="1470"/>
      <w:jc w:val="left"/>
    </w:pPr>
    <w:rPr>
      <w:sz w:val="18"/>
      <w:szCs w:val="18"/>
    </w:rPr>
  </w:style>
  <w:style w:type="paragraph" w:styleId="14">
    <w:name w:val="Date"/>
    <w:basedOn w:val="1"/>
    <w:next w:val="1"/>
    <w:link w:val="50"/>
    <w:qFormat/>
    <w:uiPriority w:val="0"/>
    <w:pPr>
      <w:ind w:left="100" w:leftChars="2500"/>
    </w:pPr>
  </w:style>
  <w:style w:type="paragraph" w:styleId="15">
    <w:name w:val="Body Text Indent 2"/>
    <w:basedOn w:val="1"/>
    <w:link w:val="43"/>
    <w:uiPriority w:val="0"/>
    <w:pPr>
      <w:spacing w:after="120" w:line="480" w:lineRule="auto"/>
      <w:ind w:left="420" w:leftChars="200"/>
    </w:pPr>
  </w:style>
  <w:style w:type="paragraph" w:styleId="16">
    <w:name w:val="Balloon Text"/>
    <w:basedOn w:val="1"/>
    <w:link w:val="49"/>
    <w:uiPriority w:val="0"/>
    <w:rPr>
      <w:sz w:val="18"/>
      <w:szCs w:val="18"/>
    </w:rPr>
  </w:style>
  <w:style w:type="paragraph" w:styleId="17">
    <w:name w:val="footer"/>
    <w:basedOn w:val="1"/>
    <w:link w:val="40"/>
    <w:uiPriority w:val="99"/>
    <w:pPr>
      <w:tabs>
        <w:tab w:val="center" w:pos="4153"/>
        <w:tab w:val="right" w:pos="8306"/>
      </w:tabs>
      <w:snapToGrid w:val="0"/>
      <w:jc w:val="left"/>
    </w:pPr>
    <w:rPr>
      <w:sz w:val="18"/>
      <w:szCs w:val="18"/>
    </w:rPr>
  </w:style>
  <w:style w:type="paragraph" w:styleId="18">
    <w:name w:val="header"/>
    <w:basedOn w:val="1"/>
    <w:link w:val="38"/>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style>
  <w:style w:type="paragraph" w:styleId="20">
    <w:name w:val="toc 4"/>
    <w:basedOn w:val="1"/>
    <w:next w:val="1"/>
    <w:uiPriority w:val="0"/>
    <w:pPr>
      <w:ind w:left="630"/>
      <w:jc w:val="left"/>
    </w:pPr>
    <w:rPr>
      <w:sz w:val="18"/>
      <w:szCs w:val="18"/>
    </w:rPr>
  </w:style>
  <w:style w:type="paragraph" w:styleId="21">
    <w:name w:val="toc 6"/>
    <w:basedOn w:val="1"/>
    <w:next w:val="1"/>
    <w:uiPriority w:val="0"/>
    <w:pPr>
      <w:ind w:left="1050"/>
      <w:jc w:val="left"/>
    </w:pPr>
    <w:rPr>
      <w:sz w:val="18"/>
      <w:szCs w:val="18"/>
    </w:rPr>
  </w:style>
  <w:style w:type="paragraph" w:styleId="22">
    <w:name w:val="Body Text Indent 3"/>
    <w:basedOn w:val="1"/>
    <w:link w:val="45"/>
    <w:uiPriority w:val="0"/>
    <w:pPr>
      <w:spacing w:after="120"/>
      <w:ind w:left="420" w:leftChars="200"/>
    </w:pPr>
    <w:rPr>
      <w:sz w:val="16"/>
      <w:szCs w:val="16"/>
    </w:rPr>
  </w:style>
  <w:style w:type="paragraph" w:styleId="23">
    <w:name w:val="toc 2"/>
    <w:basedOn w:val="1"/>
    <w:next w:val="1"/>
    <w:uiPriority w:val="39"/>
    <w:pPr>
      <w:ind w:left="420" w:leftChars="200"/>
    </w:pPr>
  </w:style>
  <w:style w:type="paragraph" w:styleId="24">
    <w:name w:val="toc 9"/>
    <w:basedOn w:val="1"/>
    <w:next w:val="1"/>
    <w:uiPriority w:val="0"/>
    <w:pPr>
      <w:ind w:left="1680"/>
      <w:jc w:val="left"/>
    </w:pPr>
    <w:rPr>
      <w:sz w:val="18"/>
      <w:szCs w:val="18"/>
    </w:rPr>
  </w:style>
  <w:style w:type="paragraph" w:styleId="25">
    <w:name w:val="Normal (Web)"/>
    <w:basedOn w:val="1"/>
    <w:uiPriority w:val="0"/>
    <w:pPr>
      <w:widowControl/>
      <w:spacing w:before="100" w:beforeAutospacing="1" w:after="100" w:afterAutospacing="1"/>
      <w:jc w:val="left"/>
    </w:pPr>
    <w:rPr>
      <w:rFonts w:ascii="宋体" w:hAnsi="宋体" w:cs="宋体"/>
      <w:kern w:val="0"/>
      <w:sz w:val="24"/>
    </w:rPr>
  </w:style>
  <w:style w:type="paragraph" w:styleId="26">
    <w:name w:val="index 1"/>
    <w:basedOn w:val="1"/>
    <w:next w:val="1"/>
    <w:qFormat/>
    <w:uiPriority w:val="0"/>
  </w:style>
  <w:style w:type="paragraph" w:styleId="27">
    <w:name w:val="Title"/>
    <w:basedOn w:val="1"/>
    <w:next w:val="1"/>
    <w:link w:val="47"/>
    <w:qFormat/>
    <w:uiPriority w:val="0"/>
    <w:pPr>
      <w:spacing w:before="240" w:after="60"/>
      <w:jc w:val="center"/>
      <w:outlineLvl w:val="0"/>
    </w:pPr>
    <w:rPr>
      <w:rFonts w:ascii="Cambria" w:hAnsi="Cambria"/>
      <w:b/>
      <w:bCs/>
      <w:sz w:val="32"/>
      <w:szCs w:val="32"/>
    </w:rPr>
  </w:style>
  <w:style w:type="table" w:styleId="29">
    <w:name w:val="Table Grid"/>
    <w:basedOn w:val="28"/>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0">
    <w:name w:val="Table List 8"/>
    <w:basedOn w:val="28"/>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character" w:styleId="32">
    <w:name w:val="page number"/>
    <w:basedOn w:val="31"/>
    <w:uiPriority w:val="0"/>
  </w:style>
  <w:style w:type="character" w:styleId="33">
    <w:name w:val="Hyperlink"/>
    <w:basedOn w:val="31"/>
    <w:uiPriority w:val="99"/>
    <w:rPr>
      <w:color w:val="0000FF"/>
      <w:u w:val="single"/>
    </w:rPr>
  </w:style>
  <w:style w:type="character" w:customStyle="1" w:styleId="34">
    <w:name w:val="标题 1 Char"/>
    <w:basedOn w:val="31"/>
    <w:link w:val="2"/>
    <w:uiPriority w:val="9"/>
    <w:rPr>
      <w:rFonts w:ascii="Times New Roman" w:hAnsi="Times New Roman" w:eastAsia="宋体" w:cs="Times New Roman"/>
      <w:b/>
      <w:bCs/>
      <w:kern w:val="44"/>
      <w:sz w:val="44"/>
      <w:szCs w:val="44"/>
    </w:rPr>
  </w:style>
  <w:style w:type="character" w:customStyle="1" w:styleId="35">
    <w:name w:val="标题 2 Char"/>
    <w:basedOn w:val="31"/>
    <w:link w:val="3"/>
    <w:uiPriority w:val="0"/>
    <w:rPr>
      <w:rFonts w:ascii="Arial" w:hAnsi="Arial" w:eastAsia="黑体" w:cs="Times New Roman"/>
      <w:b/>
      <w:bCs/>
      <w:sz w:val="32"/>
      <w:szCs w:val="32"/>
    </w:rPr>
  </w:style>
  <w:style w:type="character" w:customStyle="1" w:styleId="36">
    <w:name w:val="标题 3 Char"/>
    <w:basedOn w:val="31"/>
    <w:link w:val="4"/>
    <w:uiPriority w:val="0"/>
    <w:rPr>
      <w:rFonts w:ascii="Times New Roman" w:hAnsi="Times New Roman" w:eastAsia="宋体" w:cs="Times New Roman"/>
      <w:b/>
      <w:bCs/>
      <w:sz w:val="32"/>
      <w:szCs w:val="32"/>
    </w:rPr>
  </w:style>
  <w:style w:type="character" w:customStyle="1" w:styleId="37">
    <w:name w:val="文档结构图 Char"/>
    <w:basedOn w:val="31"/>
    <w:link w:val="7"/>
    <w:semiHidden/>
    <w:uiPriority w:val="0"/>
    <w:rPr>
      <w:rFonts w:ascii="Times New Roman" w:hAnsi="Times New Roman" w:eastAsia="宋体" w:cs="Times New Roman"/>
      <w:szCs w:val="24"/>
      <w:shd w:val="clear" w:color="auto" w:fill="000080"/>
    </w:rPr>
  </w:style>
  <w:style w:type="character" w:customStyle="1" w:styleId="38">
    <w:name w:val="页眉 Char"/>
    <w:basedOn w:val="31"/>
    <w:link w:val="18"/>
    <w:uiPriority w:val="0"/>
    <w:rPr>
      <w:rFonts w:ascii="Times New Roman" w:hAnsi="Times New Roman" w:eastAsia="宋体" w:cs="Times New Roman"/>
      <w:sz w:val="18"/>
      <w:szCs w:val="18"/>
    </w:rPr>
  </w:style>
  <w:style w:type="character" w:customStyle="1" w:styleId="39">
    <w:name w:val="正文文本 Char"/>
    <w:basedOn w:val="31"/>
    <w:link w:val="8"/>
    <w:uiPriority w:val="0"/>
    <w:rPr>
      <w:rFonts w:ascii="仿宋_GB2312" w:hAnsi="Times New Roman" w:eastAsia="仿宋_GB2312" w:cs="Times New Roman"/>
      <w:sz w:val="30"/>
      <w:szCs w:val="24"/>
    </w:rPr>
  </w:style>
  <w:style w:type="character" w:customStyle="1" w:styleId="40">
    <w:name w:val="页脚 Char"/>
    <w:basedOn w:val="31"/>
    <w:link w:val="17"/>
    <w:uiPriority w:val="99"/>
    <w:rPr>
      <w:rFonts w:ascii="Times New Roman" w:hAnsi="Times New Roman" w:eastAsia="宋体" w:cs="Times New Roman"/>
      <w:sz w:val="18"/>
      <w:szCs w:val="18"/>
    </w:rPr>
  </w:style>
  <w:style w:type="paragraph" w:customStyle="1" w:styleId="41">
    <w:name w:val="Char Char"/>
    <w:basedOn w:val="1"/>
    <w:uiPriority w:val="0"/>
    <w:pPr>
      <w:adjustRightInd w:val="0"/>
      <w:spacing w:line="360" w:lineRule="atLeast"/>
    </w:pPr>
  </w:style>
  <w:style w:type="paragraph" w:customStyle="1" w:styleId="42">
    <w:name w:val="Char Char Char Char Char Char Char Char Char1 Char Char Char Char Char Char Char Char Char Char Char Char Char"/>
    <w:basedOn w:val="2"/>
    <w:uiPriority w:val="0"/>
    <w:pPr>
      <w:snapToGrid w:val="0"/>
      <w:spacing w:before="240" w:after="240" w:line="348" w:lineRule="auto"/>
    </w:pPr>
    <w:rPr>
      <w:rFonts w:ascii="Tahoma" w:hAnsi="Tahoma"/>
      <w:bCs w:val="0"/>
      <w:kern w:val="2"/>
      <w:sz w:val="24"/>
      <w:szCs w:val="20"/>
    </w:rPr>
  </w:style>
  <w:style w:type="character" w:customStyle="1" w:styleId="43">
    <w:name w:val="正文文本缩进 2 Char"/>
    <w:basedOn w:val="31"/>
    <w:link w:val="15"/>
    <w:uiPriority w:val="0"/>
    <w:rPr>
      <w:rFonts w:ascii="Times New Roman" w:hAnsi="Times New Roman" w:eastAsia="宋体" w:cs="Times New Roman"/>
      <w:szCs w:val="24"/>
    </w:rPr>
  </w:style>
  <w:style w:type="character" w:customStyle="1" w:styleId="44">
    <w:name w:val="正文文本缩进 Char"/>
    <w:basedOn w:val="31"/>
    <w:link w:val="9"/>
    <w:qFormat/>
    <w:uiPriority w:val="0"/>
    <w:rPr>
      <w:rFonts w:ascii="Times New Roman" w:hAnsi="Times New Roman" w:eastAsia="宋体" w:cs="Times New Roman"/>
      <w:szCs w:val="24"/>
    </w:rPr>
  </w:style>
  <w:style w:type="character" w:customStyle="1" w:styleId="45">
    <w:name w:val="正文文本缩进 3 Char"/>
    <w:basedOn w:val="31"/>
    <w:link w:val="22"/>
    <w:qFormat/>
    <w:uiPriority w:val="0"/>
    <w:rPr>
      <w:rFonts w:ascii="Times New Roman" w:hAnsi="Times New Roman" w:eastAsia="宋体" w:cs="Times New Roman"/>
      <w:sz w:val="16"/>
      <w:szCs w:val="16"/>
    </w:rPr>
  </w:style>
  <w:style w:type="character" w:customStyle="1" w:styleId="46">
    <w:name w:val="纯文本 Char"/>
    <w:basedOn w:val="31"/>
    <w:link w:val="12"/>
    <w:uiPriority w:val="0"/>
    <w:rPr>
      <w:rFonts w:ascii="宋体" w:hAnsi="Courier New" w:eastAsia="宋体" w:cs="Courier New"/>
      <w:szCs w:val="21"/>
    </w:rPr>
  </w:style>
  <w:style w:type="character" w:customStyle="1" w:styleId="47">
    <w:name w:val="标题 Char"/>
    <w:basedOn w:val="31"/>
    <w:link w:val="27"/>
    <w:qFormat/>
    <w:uiPriority w:val="0"/>
    <w:rPr>
      <w:rFonts w:ascii="Cambria" w:hAnsi="Cambria" w:eastAsia="宋体" w:cs="Times New Roman"/>
      <w:b/>
      <w:bCs/>
      <w:sz w:val="32"/>
      <w:szCs w:val="32"/>
    </w:rPr>
  </w:style>
  <w:style w:type="paragraph" w:customStyle="1" w:styleId="48">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49">
    <w:name w:val="批注框文本 Char"/>
    <w:basedOn w:val="31"/>
    <w:link w:val="16"/>
    <w:qFormat/>
    <w:uiPriority w:val="0"/>
    <w:rPr>
      <w:rFonts w:ascii="Times New Roman" w:hAnsi="Times New Roman" w:eastAsia="宋体" w:cs="Times New Roman"/>
      <w:sz w:val="18"/>
      <w:szCs w:val="18"/>
    </w:rPr>
  </w:style>
  <w:style w:type="character" w:customStyle="1" w:styleId="50">
    <w:name w:val="日期 Char"/>
    <w:basedOn w:val="31"/>
    <w:link w:val="14"/>
    <w:qFormat/>
    <w:uiPriority w:val="0"/>
    <w:rPr>
      <w:rFonts w:ascii="Times New Roman" w:hAnsi="Times New Roman" w:eastAsia="宋体" w:cs="Times New Roman"/>
      <w:szCs w:val="24"/>
    </w:rPr>
  </w:style>
  <w:style w:type="paragraph" w:customStyle="1" w:styleId="51">
    <w:name w:val=" Char1 Char Char Char"/>
    <w:basedOn w:val="1"/>
    <w:semiHidden/>
    <w:uiPriority w:val="0"/>
    <w:pPr>
      <w:adjustRightInd w:val="0"/>
      <w:spacing w:line="360" w:lineRule="atLeast"/>
    </w:pPr>
  </w:style>
  <w:style w:type="paragraph" w:customStyle="1" w:styleId="52">
    <w:name w:val="xl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Cs w:val="21"/>
    </w:rPr>
  </w:style>
  <w:style w:type="character" w:customStyle="1" w:styleId="53">
    <w:name w:val="正文使用样式 Char"/>
    <w:basedOn w:val="31"/>
    <w:link w:val="54"/>
    <w:qFormat/>
    <w:uiPriority w:val="0"/>
    <w:rPr>
      <w:rFonts w:cs="宋体"/>
      <w:spacing w:val="-6"/>
      <w:sz w:val="24"/>
      <w:szCs w:val="24"/>
    </w:rPr>
  </w:style>
  <w:style w:type="paragraph" w:customStyle="1" w:styleId="54">
    <w:name w:val="正文使用样式"/>
    <w:basedOn w:val="1"/>
    <w:link w:val="53"/>
    <w:uiPriority w:val="0"/>
    <w:pPr>
      <w:spacing w:line="360" w:lineRule="auto"/>
    </w:pPr>
    <w:rPr>
      <w:rFonts w:cs="宋体" w:asciiTheme="minorHAnsi" w:hAnsiTheme="minorHAnsi" w:eastAsiaTheme="minorEastAsia"/>
      <w:spacing w:val="-6"/>
      <w:sz w:val="24"/>
    </w:rPr>
  </w:style>
  <w:style w:type="paragraph" w:customStyle="1" w:styleId="55">
    <w:name w:val="样式 样式2 + 首行缩进:  2 字符"/>
    <w:basedOn w:val="1"/>
    <w:uiPriority w:val="0"/>
    <w:pPr>
      <w:spacing w:line="540" w:lineRule="exact"/>
      <w:ind w:firstLine="480" w:firstLineChars="200"/>
    </w:pPr>
    <w:rPr>
      <w:kern w:val="0"/>
      <w:sz w:val="24"/>
      <w:szCs w:val="20"/>
    </w:rPr>
  </w:style>
  <w:style w:type="character" w:customStyle="1" w:styleId="56">
    <w:name w:val="Default Paragraph Font"/>
    <w:qFormat/>
    <w:uiPriority w:val="0"/>
    <w:rPr>
      <w:rFonts w:hint="default"/>
    </w:rPr>
  </w:style>
  <w:style w:type="character" w:customStyle="1" w:styleId="57">
    <w:name w:val="Default Paragraph Font New New New New New New"/>
    <w:uiPriority w:val="0"/>
    <w:rPr>
      <w:rFonts w:hint="default"/>
    </w:rPr>
  </w:style>
  <w:style w:type="character" w:customStyle="1" w:styleId="58">
    <w:name w:val="正文文本缩进 3 Char New"/>
    <w:link w:val="59"/>
    <w:uiPriority w:val="0"/>
    <w:rPr>
      <w:rFonts w:ascii="仿宋_GB2312" w:eastAsia="仿宋_GB2312"/>
      <w:sz w:val="30"/>
      <w:lang w:val="zh-CN"/>
    </w:rPr>
  </w:style>
  <w:style w:type="paragraph" w:customStyle="1" w:styleId="59">
    <w:name w:val="Body Text Indent 3"/>
    <w:basedOn w:val="60"/>
    <w:link w:val="58"/>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60">
    <w:name w:val="Normal New New"/>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61">
    <w:name w:val="Default Paragraph Font New New New New New New New New New New"/>
    <w:uiPriority w:val="0"/>
    <w:rPr>
      <w:rFonts w:hint="default"/>
    </w:rPr>
  </w:style>
  <w:style w:type="character" w:customStyle="1" w:styleId="62">
    <w:name w:val="Default Paragraph Font New New"/>
    <w:uiPriority w:val="0"/>
    <w:rPr>
      <w:rFonts w:hint="default"/>
    </w:rPr>
  </w:style>
  <w:style w:type="character" w:customStyle="1" w:styleId="63">
    <w:name w:val="正文文本缩进 3 Char New New New"/>
    <w:link w:val="64"/>
    <w:uiPriority w:val="0"/>
    <w:rPr>
      <w:rFonts w:ascii="仿宋_GB2312" w:eastAsia="仿宋_GB2312"/>
      <w:sz w:val="30"/>
      <w:lang w:val="zh-CN"/>
    </w:rPr>
  </w:style>
  <w:style w:type="paragraph" w:customStyle="1" w:styleId="64">
    <w:name w:val="Body Text Indent 3 New New"/>
    <w:basedOn w:val="65"/>
    <w:link w:val="63"/>
    <w:qFormat/>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65">
    <w:name w:val="Normal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66">
    <w:name w:val="Default Paragraph Font New New New New New New New New"/>
    <w:qFormat/>
    <w:uiPriority w:val="0"/>
    <w:rPr>
      <w:rFonts w:hint="default"/>
    </w:rPr>
  </w:style>
  <w:style w:type="character" w:customStyle="1" w:styleId="67">
    <w:name w:val="纯文本 Char1"/>
    <w:semiHidden/>
    <w:uiPriority w:val="99"/>
    <w:rPr>
      <w:rFonts w:ascii="宋体" w:hAnsi="Courier New" w:cs="Courier New"/>
      <w:kern w:val="2"/>
      <w:sz w:val="21"/>
      <w:szCs w:val="21"/>
    </w:rPr>
  </w:style>
  <w:style w:type="character" w:customStyle="1" w:styleId="68">
    <w:name w:val="Default Paragraph Font New New New New New New New New New"/>
    <w:uiPriority w:val="0"/>
    <w:rPr>
      <w:rFonts w:hint="default"/>
    </w:rPr>
  </w:style>
  <w:style w:type="character" w:customStyle="1" w:styleId="69">
    <w:name w:val="Default Paragraph Font New New New"/>
    <w:uiPriority w:val="0"/>
    <w:rPr>
      <w:rFonts w:hint="default"/>
    </w:rPr>
  </w:style>
  <w:style w:type="character" w:customStyle="1" w:styleId="70">
    <w:name w:val="Default Paragraph Font New New New New New"/>
    <w:uiPriority w:val="0"/>
    <w:rPr>
      <w:rFonts w:hint="default"/>
    </w:rPr>
  </w:style>
  <w:style w:type="character" w:customStyle="1" w:styleId="71">
    <w:name w:val="正文文本缩进 3 Char New New"/>
    <w:link w:val="72"/>
    <w:uiPriority w:val="0"/>
    <w:rPr>
      <w:rFonts w:ascii="仿宋_GB2312" w:eastAsia="仿宋_GB2312"/>
      <w:sz w:val="30"/>
      <w:lang w:val="zh-CN"/>
    </w:rPr>
  </w:style>
  <w:style w:type="paragraph" w:customStyle="1" w:styleId="72">
    <w:name w:val="Body Text Indent 3 New"/>
    <w:basedOn w:val="73"/>
    <w:link w:val="71"/>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73">
    <w:name w:val="Normal New New New"/>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74">
    <w:name w:val="page number"/>
    <w:basedOn w:val="31"/>
    <w:uiPriority w:val="0"/>
  </w:style>
  <w:style w:type="character" w:customStyle="1" w:styleId="75">
    <w:name w:val="Default Paragraph Font New"/>
    <w:uiPriority w:val="0"/>
    <w:rPr>
      <w:rFonts w:hint="default"/>
    </w:rPr>
  </w:style>
  <w:style w:type="character" w:customStyle="1" w:styleId="76">
    <w:name w:val="Default Paragraph Font New New New New"/>
    <w:uiPriority w:val="0"/>
    <w:rPr>
      <w:rFonts w:hint="default"/>
    </w:rPr>
  </w:style>
  <w:style w:type="character" w:customStyle="1" w:styleId="77">
    <w:name w:val="Default Paragraph Font New New New New New New New"/>
    <w:uiPriority w:val="0"/>
    <w:rPr>
      <w:rFonts w:hint="default"/>
    </w:rPr>
  </w:style>
  <w:style w:type="paragraph" w:customStyle="1" w:styleId="78">
    <w:name w:val="Normal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79">
    <w:name w:val="正文 New"/>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80">
    <w:name w:val=" Char1 Char Char Char Char Char Char"/>
    <w:basedOn w:val="1"/>
    <w:uiPriority w:val="0"/>
    <w:pPr>
      <w:spacing w:line="360" w:lineRule="auto"/>
    </w:pPr>
  </w:style>
  <w:style w:type="paragraph" w:customStyle="1" w:styleId="81">
    <w:name w:val="List Paragraph"/>
    <w:basedOn w:val="1"/>
    <w:qFormat/>
    <w:uiPriority w:val="0"/>
    <w:pPr>
      <w:ind w:firstLine="420" w:firstLineChars="200"/>
    </w:pPr>
  </w:style>
  <w:style w:type="paragraph" w:customStyle="1" w:styleId="82">
    <w:name w:val="Normal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3">
    <w:name w:val="Normal New New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4">
    <w:name w:val="Char1 Char Char2 Char Char Char Char"/>
    <w:basedOn w:val="1"/>
    <w:uiPriority w:val="0"/>
    <w:pPr>
      <w:tabs>
        <w:tab w:val="left" w:pos="1280"/>
      </w:tabs>
      <w:spacing w:line="360" w:lineRule="auto"/>
      <w:ind w:firstLine="200" w:firstLineChars="200"/>
    </w:pPr>
    <w:rPr>
      <w:rFonts w:cs="宋体"/>
      <w:color w:val="000000"/>
      <w:sz w:val="24"/>
    </w:rPr>
  </w:style>
  <w:style w:type="paragraph" w:customStyle="1" w:styleId="85">
    <w:name w:val="Date"/>
    <w:basedOn w:val="1"/>
    <w:next w:val="1"/>
    <w:qFormat/>
    <w:uiPriority w:val="0"/>
    <w:pPr>
      <w:ind w:left="100" w:leftChars="2500"/>
    </w:pPr>
  </w:style>
  <w:style w:type="paragraph" w:customStyle="1" w:styleId="86">
    <w:name w:val="Plain Text"/>
    <w:basedOn w:val="1"/>
    <w:uiPriority w:val="99"/>
    <w:pPr>
      <w:widowControl/>
      <w:spacing w:before="100" w:beforeAutospacing="1" w:after="100" w:afterAutospacing="1"/>
      <w:jc w:val="left"/>
    </w:pPr>
    <w:rPr>
      <w:rFonts w:ascii="宋体" w:hAnsi="宋体"/>
      <w:kern w:val="0"/>
      <w:sz w:val="24"/>
    </w:rPr>
  </w:style>
  <w:style w:type="paragraph" w:customStyle="1" w:styleId="87">
    <w:name w:val="Normal New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8">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9">
    <w:name w:val="Normal New New New New New New New New New New New"/>
    <w:uiPriority w:val="0"/>
    <w:pPr>
      <w:jc w:val="both"/>
    </w:pPr>
    <w:rPr>
      <w:rFonts w:ascii="Times New Roman" w:hAnsi="Times New Roman" w:eastAsia="宋体" w:cs="Times New Roman"/>
      <w:kern w:val="2"/>
      <w:sz w:val="21"/>
      <w:szCs w:val="20"/>
      <w:lang w:val="en-US" w:eastAsia="zh-CN" w:bidi="ar-SA"/>
    </w:rPr>
  </w:style>
  <w:style w:type="paragraph" w:customStyle="1" w:styleId="90">
    <w:name w:val="Body Text Indent"/>
    <w:basedOn w:val="1"/>
    <w:uiPriority w:val="0"/>
    <w:pPr>
      <w:ind w:firstLine="554" w:firstLineChars="198"/>
    </w:pPr>
    <w:rPr>
      <w:rFonts w:ascii="宋体" w:hAnsi="宋体"/>
      <w:sz w:val="28"/>
    </w:rPr>
  </w:style>
  <w:style w:type="paragraph" w:customStyle="1" w:styleId="91">
    <w:name w:val="Normal"/>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2">
    <w:name w:val="Normal New New New New New"/>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93">
    <w:name w:val="Normal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4">
    <w:name w:val="Normal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5">
    <w:name w:val="纯文本 Char Char Char Char Char Char"/>
    <w:basedOn w:val="1"/>
    <w:next w:val="90"/>
    <w:uiPriority w:val="0"/>
    <w:pPr>
      <w:spacing w:line="360" w:lineRule="auto"/>
      <w:ind w:firstLine="480" w:firstLineChars="200"/>
    </w:pPr>
    <w:rPr>
      <w:sz w:val="24"/>
    </w:rPr>
  </w:style>
  <w:style w:type="paragraph" w:customStyle="1" w:styleId="96">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16755</Words>
  <Characters>19565</Characters>
  <Lines>164</Lines>
  <Paragraphs>46</Paragraphs>
  <TotalTime>2</TotalTime>
  <ScaleCrop>false</ScaleCrop>
  <LinksUpToDate>false</LinksUpToDate>
  <CharactersWithSpaces>20370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2021-07-15T02:51:00Z</dcterms:created>
  <dc:creator>user</dc:creator>
  <cp:lastModifiedBy>Administrator</cp:lastModifiedBy>
  <dcterms:modified xsi:type="dcterms:W3CDTF">2023-06-02T06:40:08Z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D65420696522443299BB4444ED8606D7_13</vt:lpwstr>
  </property>
</Properties>
</file>