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0E" w:rsidRDefault="00B0660E" w:rsidP="00B0660E">
      <w:pPr>
        <w:spacing w:line="600" w:lineRule="exact"/>
        <w:rPr>
          <w:rFonts w:ascii="仿宋_GB2312" w:eastAsia="仿宋_GB2312" w:hAnsi="Batang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0660E" w:rsidRDefault="00B0660E" w:rsidP="00B0660E">
      <w:pPr>
        <w:spacing w:line="600" w:lineRule="exact"/>
        <w:rPr>
          <w:rFonts w:ascii="仿宋_GB2312" w:eastAsia="仿宋_GB2312" w:hAnsi="Batang" w:hint="eastAsia"/>
          <w:sz w:val="32"/>
          <w:szCs w:val="32"/>
        </w:rPr>
      </w:pPr>
    </w:p>
    <w:p w:rsidR="00B0660E" w:rsidRDefault="00B0660E" w:rsidP="00B0660E">
      <w:pPr>
        <w:spacing w:line="600" w:lineRule="exact"/>
        <w:jc w:val="center"/>
        <w:rPr>
          <w:rFonts w:ascii="方正小标宋简体" w:eastAsia="方正小标宋简体" w:hAnsi="黑体" w:cs="微软雅黑" w:hint="eastAsia"/>
          <w:w w:val="101"/>
          <w:kern w:val="0"/>
          <w:position w:val="2"/>
          <w:sz w:val="44"/>
          <w:szCs w:val="44"/>
        </w:rPr>
      </w:pPr>
      <w:r>
        <w:rPr>
          <w:rFonts w:ascii="方正小标宋简体" w:eastAsia="方正小标宋简体" w:hAnsi="黑体" w:cs="微软雅黑" w:hint="eastAsia"/>
          <w:w w:val="101"/>
          <w:kern w:val="0"/>
          <w:position w:val="2"/>
          <w:sz w:val="44"/>
          <w:szCs w:val="44"/>
        </w:rPr>
        <w:t>动物卫生监督执法设施设备建设标准</w:t>
      </w:r>
    </w:p>
    <w:p w:rsidR="00B0660E" w:rsidRDefault="00B0660E" w:rsidP="00B0660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0660E" w:rsidRDefault="00B0660E" w:rsidP="00B0660E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一、建设标准</w:t>
      </w:r>
    </w:p>
    <w:p w:rsidR="00B0660E" w:rsidRDefault="00B0660E" w:rsidP="00B0660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、镇（街）两级要配备满足工作需要的检疫监督执法设施设备。特别是承担检疫以及动物防疫相关监督管理执法工作的基层单位,要配备满足检疫、监督、执法工作必需的工作场所、设施设备以及监督执法车辆等。其中,每个官方兽医配置一个检疫工作箱、一个工作记录仪、一个移动工作终端等。</w:t>
      </w:r>
    </w:p>
    <w:p w:rsidR="00B0660E" w:rsidRDefault="00B0660E" w:rsidP="00B0660E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二、维护管理</w:t>
      </w:r>
    </w:p>
    <w:p w:rsidR="00B0660E" w:rsidRDefault="00B0660E" w:rsidP="00B0660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市、镇（街）两级要定期对检疫、监督、执法设施设备进行检查,及时进行更新换代和升级改造。</w:t>
      </w:r>
    </w:p>
    <w:p w:rsidR="00B0660E" w:rsidRDefault="00B0660E" w:rsidP="00B0660E">
      <w:pPr>
        <w:spacing w:line="60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三、投资保障</w:t>
      </w:r>
    </w:p>
    <w:p w:rsidR="00B0660E" w:rsidRDefault="00B0660E" w:rsidP="00B0660E">
      <w:pPr>
        <w:spacing w:line="600" w:lineRule="exact"/>
        <w:ind w:firstLineChars="200" w:firstLine="640"/>
        <w:rPr>
          <w:rFonts w:ascii="仿宋_GB2312" w:eastAsia="仿宋_GB2312" w:hint="eastAsia"/>
          <w:w w:val="98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市、镇（街）两级</w:t>
      </w:r>
      <w:r>
        <w:rPr>
          <w:rFonts w:ascii="仿宋_GB2312" w:eastAsia="仿宋_GB2312" w:hint="eastAsia"/>
          <w:w w:val="98"/>
          <w:sz w:val="32"/>
          <w:szCs w:val="32"/>
        </w:rPr>
        <w:t>统筹安排涉农资金,对动物卫生监督执法设施设备配置和维护管理经费给予保障,适当给予基层一定的财政补助。</w:t>
      </w:r>
    </w:p>
    <w:p w:rsidR="00B0660E" w:rsidRDefault="00B0660E" w:rsidP="00B0660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0660E" w:rsidRDefault="00B0660E" w:rsidP="00B0660E">
      <w:pPr>
        <w:spacing w:line="600" w:lineRule="exact"/>
        <w:rPr>
          <w:rFonts w:hint="eastAsia"/>
        </w:rPr>
      </w:pPr>
    </w:p>
    <w:p w:rsidR="006C4E82" w:rsidRPr="00B0660E" w:rsidRDefault="006C4E82"/>
    <w:sectPr w:rsidR="006C4E82" w:rsidRPr="00B0660E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60E"/>
    <w:rsid w:val="006C4E82"/>
    <w:rsid w:val="00B0660E"/>
    <w:rsid w:val="00D4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2021-07-12T09:03:00Z</dcterms:created>
  <dcterms:modified xsi:type="dcterms:W3CDTF">2021-07-12T09:03:00Z</dcterms:modified>
</cp:coreProperties>
</file>