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4"/>
          <w:sz w:val="30"/>
          <w:szCs w:val="30"/>
        </w:rPr>
        <w:t>附件1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7" w:line="580" w:lineRule="exact"/>
        <w:ind w:left="142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2"/>
          <w:position w:val="10"/>
          <w:sz w:val="42"/>
          <w:szCs w:val="42"/>
        </w:rPr>
        <w:t>关于印发《枣庄市非遗工坊认定</w:t>
      </w:r>
    </w:p>
    <w:p>
      <w:pPr>
        <w:spacing w:before="1" w:line="219" w:lineRule="auto"/>
        <w:ind w:left="246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4"/>
          <w:sz w:val="42"/>
          <w:szCs w:val="42"/>
        </w:rPr>
        <w:t>和管理办法》的通知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97" w:line="603" w:lineRule="exact"/>
        <w:ind w:left="1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2"/>
          <w:sz w:val="30"/>
          <w:szCs w:val="30"/>
        </w:rPr>
        <w:t>各区(市)文化和旅游局、人力资源和社会保障局、乡村振兴局，</w:t>
      </w:r>
    </w:p>
    <w:p>
      <w:pPr>
        <w:spacing w:line="222" w:lineRule="auto"/>
        <w:ind w:left="1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高新区社会事业发展中心：</w:t>
      </w:r>
    </w:p>
    <w:p>
      <w:pPr>
        <w:spacing w:before="249" w:line="362" w:lineRule="auto"/>
        <w:ind w:left="144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《枣庄市非遗工坊认定和管理办法》已经市文化和旅游局、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市人力资源和社会保障局、市乡村振兴局同意，现印发给你们，</w:t>
      </w:r>
    </w:p>
    <w:p>
      <w:pPr>
        <w:spacing w:line="220" w:lineRule="auto"/>
        <w:ind w:left="1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请遵照执行。</w:t>
      </w:r>
    </w:p>
    <w:p>
      <w:pPr>
        <w:spacing w:before="258" w:line="224" w:lineRule="auto"/>
        <w:ind w:left="7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特此通知。</w:t>
      </w:r>
    </w:p>
    <w:p>
      <w:pPr>
        <w:sectPr>
          <w:footerReference r:id="rId5" w:type="default"/>
          <w:pgSz w:w="11900" w:h="16820"/>
          <w:pgMar w:top="1429" w:right="1619" w:bottom="1910" w:left="1785" w:header="0" w:footer="1654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7" w:line="219" w:lineRule="auto"/>
        <w:ind w:left="135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5"/>
          <w:sz w:val="42"/>
          <w:szCs w:val="42"/>
        </w:rPr>
        <w:t>枣庄市非遗工坊认定和管理办法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7" w:line="222" w:lineRule="auto"/>
        <w:ind w:left="3659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一、总则</w:t>
      </w:r>
    </w:p>
    <w:p>
      <w:pPr>
        <w:spacing w:before="179" w:line="338" w:lineRule="auto"/>
        <w:ind w:left="44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5"/>
          <w:sz w:val="29"/>
          <w:szCs w:val="29"/>
        </w:rPr>
        <w:t>第一条</w:t>
      </w:r>
      <w:r>
        <w:rPr>
          <w:rFonts w:ascii="仿宋" w:hAnsi="仿宋" w:eastAsia="仿宋" w:cs="仿宋"/>
          <w:spacing w:val="3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为深入贯彻落实省委、省政府关于打造“山东手造”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品牌的部署要求，根据文化和旅游部办公厅、人力资源社会保障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2"/>
          <w:sz w:val="29"/>
          <w:szCs w:val="29"/>
        </w:rPr>
        <w:t>部办公厅、国家乡村振兴局综合司《关于持续推动非遗工坊建设</w:t>
      </w:r>
    </w:p>
    <w:p>
      <w:pPr>
        <w:spacing w:line="220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助力乡村振兴的通知》精神，结合我市工作实际，制订本办法。</w:t>
      </w:r>
    </w:p>
    <w:p>
      <w:pPr>
        <w:spacing w:before="184" w:line="338" w:lineRule="auto"/>
        <w:ind w:left="44" w:right="178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7"/>
          <w:sz w:val="29"/>
          <w:szCs w:val="29"/>
        </w:rPr>
        <w:t>第二条</w:t>
      </w:r>
      <w:r>
        <w:rPr>
          <w:rFonts w:ascii="仿宋" w:hAnsi="仿宋" w:eastAsia="仿宋" w:cs="仿宋"/>
          <w:spacing w:val="3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非遗工坊是指在枣庄市境内依托非遗代表性项目或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传统手工艺，开展非遗保护传承，带动当地人群就地就近就业，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经文化和旅游部门会同人力资源社会保障、乡村振兴部门认定的</w:t>
      </w:r>
    </w:p>
    <w:p>
      <w:pPr>
        <w:spacing w:before="1" w:line="222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各类经营主体和生产加工点。</w:t>
      </w:r>
    </w:p>
    <w:p>
      <w:pPr>
        <w:spacing w:before="173" w:line="338" w:lineRule="auto"/>
        <w:ind w:left="44" w:right="234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9"/>
          <w:sz w:val="29"/>
          <w:szCs w:val="29"/>
        </w:rPr>
        <w:t>第三条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9"/>
          <w:sz w:val="29"/>
          <w:szCs w:val="29"/>
        </w:rPr>
        <w:t>文化和旅游、人力资源社会保障、乡村振兴</w:t>
      </w:r>
      <w:r>
        <w:rPr>
          <w:rFonts w:ascii="仿宋" w:hAnsi="仿宋" w:eastAsia="仿宋" w:cs="仿宋"/>
          <w:spacing w:val="18"/>
          <w:sz w:val="29"/>
          <w:szCs w:val="29"/>
        </w:rPr>
        <w:t>等部门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要根据自身职责，把非遗工坊建设纳入本单位乡村振兴工作体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系，建立健全工作机制，明确工作任务、责任单位和责任人，协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调解决非遗工坊建设运营中遇到的困难与问题，</w:t>
      </w:r>
      <w:r>
        <w:rPr>
          <w:rFonts w:ascii="仿宋" w:hAnsi="仿宋" w:eastAsia="仿宋" w:cs="仿宋"/>
          <w:spacing w:val="10"/>
          <w:sz w:val="29"/>
          <w:szCs w:val="29"/>
        </w:rPr>
        <w:t>推动非遗工坊可</w:t>
      </w:r>
    </w:p>
    <w:p>
      <w:pPr>
        <w:spacing w:line="220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持续发展，带动更多人就业创业。</w:t>
      </w:r>
    </w:p>
    <w:p>
      <w:pPr>
        <w:spacing w:before="182" w:line="338" w:lineRule="auto"/>
        <w:ind w:left="44" w:right="256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6"/>
          <w:sz w:val="29"/>
          <w:szCs w:val="29"/>
        </w:rPr>
        <w:t>第四条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文化和旅游部门牵头做好非遗工坊建设各项工作，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促进非遗保护传承，组织做好人员培训、产品设计、宣传推广等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工作。人力资源社会保障部门、乡村振兴部门落实就业创业相关</w:t>
      </w:r>
    </w:p>
    <w:p>
      <w:pPr>
        <w:spacing w:line="220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扶持政策，更好发挥吸纳带动就业作用。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5" w:line="222" w:lineRule="auto"/>
        <w:ind w:left="3209"/>
        <w:outlineLvl w:val="6"/>
        <w:rPr>
          <w:rFonts w:ascii="黑体" w:hAnsi="黑体" w:eastAsia="黑体" w:cs="黑体"/>
          <w:b/>
          <w:bCs/>
          <w:spacing w:val="3"/>
          <w:sz w:val="29"/>
          <w:szCs w:val="29"/>
        </w:rPr>
      </w:pPr>
    </w:p>
    <w:p>
      <w:pPr>
        <w:spacing w:before="95" w:line="222" w:lineRule="auto"/>
        <w:ind w:left="320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二</w:t>
      </w:r>
      <w:r>
        <w:rPr>
          <w:rFonts w:ascii="黑体" w:hAnsi="黑体" w:eastAsia="黑体" w:cs="黑体"/>
          <w:spacing w:val="-6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29"/>
          <w:szCs w:val="29"/>
        </w:rPr>
        <w:t>、申报及认定</w:t>
      </w:r>
    </w:p>
    <w:p>
      <w:pPr>
        <w:spacing w:before="190" w:line="213" w:lineRule="auto"/>
        <w:ind w:left="6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第五条</w:t>
      </w:r>
      <w:r>
        <w:rPr>
          <w:rFonts w:ascii="黑体" w:hAnsi="黑体" w:eastAsia="黑体" w:cs="黑体"/>
          <w:spacing w:val="2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11"/>
          <w:sz w:val="29"/>
          <w:szCs w:val="29"/>
        </w:rPr>
        <w:t>符合下列条件的，可认定为非遗工坊：</w:t>
      </w:r>
    </w:p>
    <w:p>
      <w:pPr>
        <w:sectPr>
          <w:footerReference r:id="rId6" w:type="default"/>
          <w:pgSz w:w="11900" w:h="16820"/>
          <w:pgMar w:top="1429" w:right="1346" w:bottom="1920" w:left="1785" w:header="0" w:footer="1664" w:gutter="0"/>
          <w:cols w:space="720" w:num="1"/>
        </w:sectPr>
      </w:pPr>
    </w:p>
    <w:p>
      <w:pPr>
        <w:spacing w:line="416" w:lineRule="auto"/>
        <w:rPr>
          <w:rFonts w:ascii="Arial"/>
          <w:sz w:val="21"/>
        </w:rPr>
      </w:pPr>
    </w:p>
    <w:p>
      <w:pPr>
        <w:spacing w:before="97" w:line="553" w:lineRule="exact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18"/>
          <w:sz w:val="30"/>
          <w:szCs w:val="30"/>
        </w:rPr>
        <w:t>一是依托本地区一项或多项非遗代表性项目，或者富有特</w:t>
      </w:r>
    </w:p>
    <w:p>
      <w:pPr>
        <w:spacing w:line="221" w:lineRule="auto"/>
        <w:ind w:left="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色、具备一定群众基础和市场前景的传统手工艺开</w:t>
      </w:r>
      <w:r>
        <w:rPr>
          <w:rFonts w:ascii="仿宋" w:hAnsi="仿宋" w:eastAsia="仿宋" w:cs="仿宋"/>
          <w:spacing w:val="3"/>
          <w:sz w:val="30"/>
          <w:szCs w:val="30"/>
        </w:rPr>
        <w:t>展生产；</w:t>
      </w:r>
    </w:p>
    <w:p>
      <w:pPr>
        <w:spacing w:before="159" w:line="547" w:lineRule="exact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18"/>
          <w:sz w:val="30"/>
          <w:szCs w:val="30"/>
        </w:rPr>
        <w:t>二是具备能够开展生产的场地、水电暖、工具设备等条件，</w:t>
      </w:r>
    </w:p>
    <w:p>
      <w:pPr>
        <w:spacing w:line="219" w:lineRule="auto"/>
        <w:ind w:left="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其中用于技能培训和生产的固定场所在50平方米以上：</w:t>
      </w:r>
    </w:p>
    <w:p>
      <w:pPr>
        <w:spacing w:before="184" w:line="553" w:lineRule="exact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18"/>
          <w:sz w:val="30"/>
          <w:szCs w:val="30"/>
        </w:rPr>
        <w:t>三是以低收入人口帮扶对象为重点，吸纳带动低收入人口就</w:t>
      </w:r>
    </w:p>
    <w:p>
      <w:pPr>
        <w:spacing w:before="1" w:line="221" w:lineRule="auto"/>
        <w:ind w:left="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业数量较多、成效较好；</w:t>
      </w:r>
    </w:p>
    <w:p>
      <w:pPr>
        <w:spacing w:before="158" w:line="221" w:lineRule="auto"/>
        <w:ind w:left="6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四是企业或工坊负责人信用良好，无违法违规行</w:t>
      </w:r>
      <w:r>
        <w:rPr>
          <w:rFonts w:ascii="仿宋" w:hAnsi="仿宋" w:eastAsia="仿宋" w:cs="仿宋"/>
          <w:spacing w:val="3"/>
          <w:sz w:val="30"/>
          <w:szCs w:val="30"/>
        </w:rPr>
        <w:t>为。</w:t>
      </w:r>
    </w:p>
    <w:p>
      <w:pPr>
        <w:spacing w:before="171" w:line="327" w:lineRule="auto"/>
        <w:ind w:left="54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第六条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支持有意愿的企业、合作社和带头人设立非遗</w:t>
      </w:r>
      <w:r>
        <w:rPr>
          <w:rFonts w:ascii="仿宋" w:hAnsi="仿宋" w:eastAsia="仿宋" w:cs="仿宋"/>
          <w:sz w:val="30"/>
          <w:szCs w:val="30"/>
        </w:rPr>
        <w:t xml:space="preserve">工坊。 </w:t>
      </w:r>
      <w:r>
        <w:rPr>
          <w:rFonts w:ascii="仿宋" w:hAnsi="仿宋" w:eastAsia="仿宋" w:cs="仿宋"/>
          <w:spacing w:val="3"/>
          <w:sz w:val="30"/>
          <w:szCs w:val="30"/>
        </w:rPr>
        <w:t>支持各级非遗生产性保护示范基地、原非遗扶贫</w:t>
      </w:r>
      <w:r>
        <w:rPr>
          <w:rFonts w:ascii="仿宋" w:hAnsi="仿宋" w:eastAsia="仿宋" w:cs="仿宋"/>
          <w:spacing w:val="2"/>
          <w:sz w:val="30"/>
          <w:szCs w:val="30"/>
        </w:rPr>
        <w:t>就业工坊等申报</w:t>
      </w:r>
    </w:p>
    <w:p>
      <w:pPr>
        <w:spacing w:before="1" w:line="222" w:lineRule="auto"/>
        <w:ind w:left="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非遗工坊。</w:t>
      </w:r>
    </w:p>
    <w:p>
      <w:pPr>
        <w:spacing w:before="166" w:line="326" w:lineRule="auto"/>
        <w:ind w:left="54" w:right="98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第七条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申报非遗工坊，应当提交非遗工坊基础信息及生产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经营情况，包括成立时间，营业执照上载明的法定代表人或负责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人信息，依托的非遗项目名称、类别、级别(选填),从业</w:t>
      </w:r>
      <w:r>
        <w:rPr>
          <w:rFonts w:ascii="仿宋" w:hAnsi="仿宋" w:eastAsia="仿宋" w:cs="仿宋"/>
          <w:spacing w:val="7"/>
          <w:sz w:val="30"/>
          <w:szCs w:val="30"/>
        </w:rPr>
        <w:t>人员信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息，营业收入等基本情况，以及证明符合认定条件的</w:t>
      </w:r>
      <w:r>
        <w:rPr>
          <w:rFonts w:ascii="仿宋" w:hAnsi="仿宋" w:eastAsia="仿宋" w:cs="仿宋"/>
          <w:spacing w:val="2"/>
          <w:sz w:val="30"/>
          <w:szCs w:val="30"/>
        </w:rPr>
        <w:t>其他相关材</w:t>
      </w:r>
    </w:p>
    <w:p>
      <w:pPr>
        <w:spacing w:line="220" w:lineRule="auto"/>
        <w:ind w:left="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料。</w:t>
      </w:r>
    </w:p>
    <w:p>
      <w:pPr>
        <w:spacing w:before="173" w:line="327" w:lineRule="auto"/>
        <w:ind w:left="54" w:right="106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第八条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区(市)文化和旅游部门会同本级人力资源社会保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障、乡村振兴部门对申报的非遗工坊进行审核，开</w:t>
      </w:r>
      <w:r>
        <w:rPr>
          <w:rFonts w:ascii="仿宋" w:hAnsi="仿宋" w:eastAsia="仿宋" w:cs="仿宋"/>
          <w:spacing w:val="2"/>
          <w:sz w:val="30"/>
          <w:szCs w:val="30"/>
        </w:rPr>
        <w:t>展实地调查核</w:t>
      </w:r>
    </w:p>
    <w:p>
      <w:pPr>
        <w:spacing w:before="1" w:line="222" w:lineRule="auto"/>
        <w:ind w:left="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实、评审认定。</w:t>
      </w:r>
    </w:p>
    <w:p>
      <w:pPr>
        <w:spacing w:before="165" w:line="326" w:lineRule="auto"/>
        <w:ind w:left="54" w:right="111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sz w:val="30"/>
          <w:szCs w:val="30"/>
        </w:rPr>
        <w:t>第九条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经评审认定合格的非遗工坊由区(市)文化和旅游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部门在政府门户网站进行公示后，联合本级人力资源社会保障部</w:t>
      </w:r>
    </w:p>
    <w:p>
      <w:pPr>
        <w:spacing w:before="1" w:line="220" w:lineRule="auto"/>
        <w:ind w:left="5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门、乡村振兴部门制发“非遗工坊”牌匾并做好备案。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7" w:line="222" w:lineRule="auto"/>
        <w:ind w:left="3239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三、</w:t>
      </w:r>
      <w:r>
        <w:rPr>
          <w:rFonts w:ascii="黑体" w:hAnsi="黑体" w:eastAsia="黑体" w:cs="黑体"/>
          <w:spacing w:val="-8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支持和扶持</w:t>
      </w:r>
    </w:p>
    <w:p>
      <w:pPr>
        <w:sectPr>
          <w:footerReference r:id="rId7" w:type="default"/>
          <w:pgSz w:w="11900" w:h="16820"/>
          <w:pgMar w:top="1429" w:right="1470" w:bottom="1912" w:left="1785" w:header="0" w:footer="1654" w:gutter="0"/>
          <w:cols w:space="720" w:num="1"/>
        </w:sectPr>
      </w:pPr>
    </w:p>
    <w:p>
      <w:pPr>
        <w:spacing w:line="415" w:lineRule="auto"/>
        <w:rPr>
          <w:rFonts w:ascii="Arial"/>
          <w:sz w:val="21"/>
        </w:rPr>
      </w:pPr>
    </w:p>
    <w:p>
      <w:pPr>
        <w:spacing w:before="98" w:line="545" w:lineRule="exact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position w:val="17"/>
          <w:sz w:val="30"/>
          <w:szCs w:val="30"/>
        </w:rPr>
        <w:t>第十条</w:t>
      </w:r>
      <w:r>
        <w:rPr>
          <w:rFonts w:ascii="仿宋" w:hAnsi="仿宋" w:eastAsia="仿宋" w:cs="仿宋"/>
          <w:spacing w:val="2"/>
          <w:position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position w:val="17"/>
          <w:sz w:val="30"/>
          <w:szCs w:val="30"/>
        </w:rPr>
        <w:t>支持非遗工坊培育特色劳务品牌，提升非遗</w:t>
      </w:r>
      <w:r>
        <w:rPr>
          <w:rFonts w:ascii="仿宋" w:hAnsi="仿宋" w:eastAsia="仿宋" w:cs="仿宋"/>
          <w:spacing w:val="8"/>
          <w:position w:val="17"/>
          <w:sz w:val="30"/>
          <w:szCs w:val="30"/>
        </w:rPr>
        <w:t>工坊人</w:t>
      </w:r>
    </w:p>
    <w:p>
      <w:pPr>
        <w:spacing w:line="223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员就业质量。</w:t>
      </w:r>
    </w:p>
    <w:p>
      <w:pPr>
        <w:spacing w:before="153" w:line="552" w:lineRule="exact"/>
        <w:ind w:left="6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position w:val="19"/>
          <w:sz w:val="30"/>
          <w:szCs w:val="30"/>
        </w:rPr>
        <w:t>第十一条</w:t>
      </w:r>
      <w:r>
        <w:rPr>
          <w:rFonts w:ascii="黑体" w:hAnsi="黑体" w:eastAsia="黑体" w:cs="黑体"/>
          <w:spacing w:val="47"/>
          <w:position w:val="1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5"/>
          <w:position w:val="19"/>
          <w:sz w:val="30"/>
          <w:szCs w:val="30"/>
        </w:rPr>
        <w:t>支持非遗工坊根据从业人群的就业和技能需要，</w:t>
      </w:r>
    </w:p>
    <w:p>
      <w:pPr>
        <w:spacing w:line="221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开展职业技能培训。</w:t>
      </w:r>
    </w:p>
    <w:p>
      <w:pPr>
        <w:spacing w:before="196" w:line="325" w:lineRule="auto"/>
        <w:ind w:left="14" w:right="26" w:firstLine="634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第十二条</w:t>
      </w:r>
      <w:r>
        <w:rPr>
          <w:rFonts w:ascii="黑体" w:hAnsi="黑体" w:eastAsia="黑体" w:cs="黑体"/>
          <w:spacing w:val="3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7"/>
          <w:sz w:val="30"/>
          <w:szCs w:val="30"/>
        </w:rPr>
        <w:t>鼓励在各类职业技能竞赛中设置非遗技能类竞赛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项目，开展相关技能展示交流，加强非遗助力乡村振兴人才队伍</w:t>
      </w:r>
    </w:p>
    <w:p>
      <w:pPr>
        <w:spacing w:before="2" w:line="223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建设。</w:t>
      </w:r>
    </w:p>
    <w:p>
      <w:pPr>
        <w:spacing w:before="161" w:line="552" w:lineRule="exact"/>
        <w:ind w:left="6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position w:val="19"/>
          <w:sz w:val="30"/>
          <w:szCs w:val="30"/>
        </w:rPr>
        <w:t>第十三条</w:t>
      </w:r>
      <w:r>
        <w:rPr>
          <w:rFonts w:ascii="黑体" w:hAnsi="黑体" w:eastAsia="黑体" w:cs="黑体"/>
          <w:spacing w:val="47"/>
          <w:position w:val="1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6"/>
          <w:position w:val="19"/>
          <w:sz w:val="30"/>
          <w:szCs w:val="30"/>
        </w:rPr>
        <w:t>结合非遗工坊需求、监测帮扶对象特点，开展集</w:t>
      </w:r>
    </w:p>
    <w:p>
      <w:pPr>
        <w:spacing w:before="1" w:line="221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中培训、实操实训、远程培训等，有效提升技能水平。</w:t>
      </w:r>
    </w:p>
    <w:p>
      <w:pPr>
        <w:spacing w:before="166" w:line="328" w:lineRule="auto"/>
        <w:ind w:left="14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第十四条</w:t>
      </w:r>
      <w:r>
        <w:rPr>
          <w:rFonts w:ascii="仿宋" w:hAnsi="仿宋" w:eastAsia="仿宋" w:cs="仿宋"/>
          <w:spacing w:val="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将非遗工坊带头人作为非遗传承人研修培训重点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培训对象。鼓励非遗传承人研修培训院校面向非遗工坊开展调</w:t>
      </w:r>
    </w:p>
    <w:p>
      <w:pPr>
        <w:spacing w:line="223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研、培训、交流活动。</w:t>
      </w:r>
    </w:p>
    <w:p>
      <w:pPr>
        <w:spacing w:before="162" w:line="327" w:lineRule="auto"/>
        <w:ind w:left="14" w:right="15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第十五条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支持非遗传承人研修培训院校开展非遗工坊帮扶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行动，帮助提升产品品质和设计水平。在非遗传承人研修培训计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划年度任务制定、优秀成果遴选中对参与帮扶行动的院校予以倾</w:t>
      </w:r>
    </w:p>
    <w:p>
      <w:pPr>
        <w:spacing w:before="1" w:line="222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斜。</w:t>
      </w:r>
    </w:p>
    <w:p>
      <w:pPr>
        <w:spacing w:before="164" w:line="531" w:lineRule="exact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position w:val="16"/>
          <w:sz w:val="30"/>
          <w:szCs w:val="30"/>
        </w:rPr>
        <w:t>第十六条</w:t>
      </w:r>
      <w:r>
        <w:rPr>
          <w:rFonts w:ascii="仿宋" w:hAnsi="仿宋" w:eastAsia="仿宋" w:cs="仿宋"/>
          <w:spacing w:val="34"/>
          <w:position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position w:val="16"/>
          <w:sz w:val="30"/>
          <w:szCs w:val="30"/>
        </w:rPr>
        <w:t>文化和旅游、人力资源社会保障、乡村振兴等部</w:t>
      </w:r>
    </w:p>
    <w:p>
      <w:pPr>
        <w:spacing w:line="220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门实时发布非遗工坊建设优秀案例，开展集中宣传推广。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222" w:lineRule="auto"/>
        <w:ind w:left="3219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四、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考核与管理</w:t>
      </w:r>
    </w:p>
    <w:p>
      <w:pPr>
        <w:spacing w:before="177" w:line="327" w:lineRule="auto"/>
        <w:ind w:left="14" w:right="15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第十七条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经认定的非遗工坊应每年向文化和旅游部门确认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或更新登记信息，连续两年未确认登记信息的非遗工坊，自动取</w:t>
      </w:r>
    </w:p>
    <w:p>
      <w:pPr>
        <w:spacing w:before="1" w:line="221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消非遗工坊资格。</w:t>
      </w:r>
    </w:p>
    <w:p>
      <w:pPr>
        <w:sectPr>
          <w:footerReference r:id="rId8" w:type="default"/>
          <w:pgSz w:w="11900" w:h="16820"/>
          <w:pgMar w:top="1429" w:right="1562" w:bottom="1922" w:left="1785" w:header="0" w:footer="1664" w:gutter="0"/>
          <w:cols w:space="720" w:num="1"/>
        </w:sectPr>
      </w:pPr>
    </w:p>
    <w:p>
      <w:pPr>
        <w:spacing w:line="416" w:lineRule="auto"/>
        <w:rPr>
          <w:rFonts w:ascii="Arial"/>
          <w:sz w:val="21"/>
        </w:rPr>
      </w:pPr>
    </w:p>
    <w:p>
      <w:pPr>
        <w:spacing w:before="97" w:line="327" w:lineRule="auto"/>
        <w:ind w:left="24" w:right="18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第十八条</w:t>
      </w:r>
      <w:r>
        <w:rPr>
          <w:rFonts w:ascii="仿宋" w:hAnsi="仿宋" w:eastAsia="仿宋" w:cs="仿宋"/>
          <w:spacing w:val="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认定的非遗工坊，应充分发挥自身优势，围绕当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地需求特点，拓宽就业渠道，大力开发手工制作、加工制造等居</w:t>
      </w:r>
    </w:p>
    <w:p>
      <w:pPr>
        <w:spacing w:line="221" w:lineRule="auto"/>
        <w:ind w:left="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家就业、灵活就业岗位，提供更多家门口就业机会。</w:t>
      </w:r>
    </w:p>
    <w:p>
      <w:pPr>
        <w:spacing w:before="168" w:line="327" w:lineRule="auto"/>
        <w:ind w:left="24" w:right="52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第十九条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认定的非遗工坊，要合理运用著作权、商标权、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专利权、地理标志等多种手段，加强知识产权保护，培育具有当</w:t>
      </w:r>
    </w:p>
    <w:p>
      <w:pPr>
        <w:spacing w:line="222" w:lineRule="auto"/>
        <w:ind w:left="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地特色的非遗工坊知名品牌。</w:t>
      </w:r>
    </w:p>
    <w:p>
      <w:pPr>
        <w:spacing w:before="165" w:line="328" w:lineRule="auto"/>
        <w:ind w:left="24" w:right="23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第二十条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认定的非遗工坊，要加强交流互鉴，因地制宜探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索工作路径，引入现代管理制度和方式，提高</w:t>
      </w:r>
      <w:r>
        <w:rPr>
          <w:rFonts w:ascii="仿宋" w:hAnsi="仿宋" w:eastAsia="仿宋" w:cs="仿宋"/>
          <w:spacing w:val="2"/>
          <w:sz w:val="30"/>
          <w:szCs w:val="30"/>
        </w:rPr>
        <w:t>生产力和市场竞争</w:t>
      </w:r>
    </w:p>
    <w:p>
      <w:pPr>
        <w:spacing w:before="1" w:line="223" w:lineRule="auto"/>
        <w:ind w:left="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力。</w:t>
      </w:r>
    </w:p>
    <w:p>
      <w:pPr>
        <w:spacing w:before="160" w:line="328" w:lineRule="auto"/>
        <w:ind w:left="24" w:right="14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sz w:val="30"/>
          <w:szCs w:val="30"/>
        </w:rPr>
        <w:t>第二十一条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认定的非遗工坊，要充分运用各类媒体宣传推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广产品的地域和民族特色，培育特色鲜明、体现地方人文的研学</w:t>
      </w:r>
    </w:p>
    <w:p>
      <w:pPr>
        <w:spacing w:line="223" w:lineRule="auto"/>
        <w:ind w:left="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旅游项目。</w:t>
      </w:r>
    </w:p>
    <w:p>
      <w:pPr>
        <w:spacing w:before="161" w:line="222" w:lineRule="auto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第二十二条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经认定的“非遗工坊”有下列情况之一的，将</w:t>
      </w:r>
    </w:p>
    <w:p>
      <w:pPr>
        <w:spacing w:before="285" w:line="222" w:lineRule="auto"/>
        <w:ind w:left="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定为考核不合格。</w:t>
      </w:r>
    </w:p>
    <w:p>
      <w:pPr>
        <w:spacing w:before="159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(一)无正当理由不正常经营者；</w:t>
      </w:r>
    </w:p>
    <w:p>
      <w:pPr>
        <w:spacing w:before="176" w:line="221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(二)不履行本办法相关规定；</w:t>
      </w:r>
    </w:p>
    <w:p>
      <w:pPr>
        <w:spacing w:before="180" w:line="219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(三)不服从所在地文化和旅游行政部门管理；</w:t>
      </w:r>
    </w:p>
    <w:p>
      <w:pPr>
        <w:spacing w:before="184" w:line="220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(四)不按规定开展非遗保护和传承工作。</w:t>
      </w:r>
    </w:p>
    <w:p>
      <w:pPr>
        <w:spacing w:before="172" w:line="530" w:lineRule="exact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8"/>
          <w:position w:val="16"/>
          <w:sz w:val="30"/>
          <w:szCs w:val="30"/>
        </w:rPr>
        <w:t>第二十三条</w:t>
      </w:r>
      <w:r>
        <w:rPr>
          <w:rFonts w:ascii="仿宋" w:hAnsi="仿宋" w:eastAsia="仿宋" w:cs="仿宋"/>
          <w:spacing w:val="6"/>
          <w:position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position w:val="16"/>
          <w:sz w:val="30"/>
          <w:szCs w:val="30"/>
        </w:rPr>
        <w:t>经认定的“非遗工坊”有下列行为之一的，将</w:t>
      </w:r>
    </w:p>
    <w:p>
      <w:pPr>
        <w:spacing w:line="219" w:lineRule="auto"/>
        <w:ind w:left="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撤销对其认定，予以摘牌，并在三年内不再受理其申请</w:t>
      </w:r>
      <w:r>
        <w:rPr>
          <w:rFonts w:ascii="仿宋" w:hAnsi="仿宋" w:eastAsia="仿宋" w:cs="仿宋"/>
          <w:spacing w:val="5"/>
          <w:sz w:val="30"/>
          <w:szCs w:val="30"/>
        </w:rPr>
        <w:t>。</w:t>
      </w:r>
    </w:p>
    <w:p>
      <w:pPr>
        <w:spacing w:before="189" w:line="222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(一)连续两次考核不合格的；</w:t>
      </w:r>
    </w:p>
    <w:p>
      <w:pPr>
        <w:spacing w:before="176" w:line="221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(二)“非遗工坊”行为对社会造成严重不良影响的；</w:t>
      </w:r>
    </w:p>
    <w:p>
      <w:pPr>
        <w:spacing w:before="180" w:line="220" w:lineRule="auto"/>
        <w:ind w:left="64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(三)宣传虚假非遗产品信息，损害消费者利益的；</w:t>
      </w:r>
    </w:p>
    <w:p>
      <w:pPr>
        <w:sectPr>
          <w:footerReference r:id="rId9" w:type="default"/>
          <w:pgSz w:w="11900" w:h="16820"/>
          <w:pgMar w:top="1429" w:right="1557" w:bottom="1922" w:left="1785" w:header="0" w:footer="1693" w:gutter="0"/>
          <w:cols w:space="720" w:num="1"/>
        </w:sectPr>
      </w:pPr>
    </w:p>
    <w:p>
      <w:pPr>
        <w:spacing w:line="428" w:lineRule="auto"/>
        <w:rPr>
          <w:rFonts w:ascii="Arial"/>
          <w:sz w:val="21"/>
        </w:rPr>
      </w:pPr>
    </w:p>
    <w:p>
      <w:pPr>
        <w:spacing w:before="94" w:line="532" w:lineRule="exact"/>
        <w:ind w:left="6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position w:val="18"/>
          <w:sz w:val="29"/>
          <w:szCs w:val="29"/>
        </w:rPr>
        <w:t>(四)私自关闭(长期不开放)且未上报所在</w:t>
      </w:r>
      <w:r>
        <w:rPr>
          <w:rFonts w:ascii="仿宋" w:hAnsi="仿宋" w:eastAsia="仿宋" w:cs="仿宋"/>
          <w:spacing w:val="20"/>
          <w:position w:val="18"/>
          <w:sz w:val="29"/>
          <w:szCs w:val="29"/>
        </w:rPr>
        <w:t>区(市)文化和旅</w:t>
      </w:r>
    </w:p>
    <w:p>
      <w:pPr>
        <w:spacing w:before="1" w:line="220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游行政部门的；</w:t>
      </w:r>
    </w:p>
    <w:p>
      <w:pPr>
        <w:spacing w:before="183" w:line="221" w:lineRule="auto"/>
        <w:ind w:left="6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(五)有违法和严重违规行为的。</w:t>
      </w:r>
    </w:p>
    <w:p>
      <w:pPr>
        <w:spacing w:before="221" w:line="338" w:lineRule="auto"/>
        <w:ind w:left="44" w:firstLine="6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8"/>
          <w:sz w:val="29"/>
          <w:szCs w:val="29"/>
        </w:rPr>
        <w:t>第二十四条</w:t>
      </w:r>
      <w:r>
        <w:rPr>
          <w:rFonts w:ascii="仿宋" w:hAnsi="仿宋" w:eastAsia="仿宋" w:cs="仿宋"/>
          <w:spacing w:val="5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8"/>
          <w:sz w:val="29"/>
          <w:szCs w:val="29"/>
        </w:rPr>
        <w:t>区(市)文化和旅游部门会同本级人力资源社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会保障部门、乡村振兴部门负责本辖区“非遗工坊”的考核工作，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每两年考核一次；考核结果及时做好备案，同时报市文化和旅游</w:t>
      </w:r>
    </w:p>
    <w:p>
      <w:pPr>
        <w:spacing w:line="221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部门备案。</w:t>
      </w:r>
    </w:p>
    <w:p>
      <w:pPr>
        <w:spacing w:before="178" w:line="339" w:lineRule="auto"/>
        <w:ind w:left="44" w:right="73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9"/>
          <w:sz w:val="29"/>
          <w:szCs w:val="29"/>
        </w:rPr>
        <w:t>第二十五条</w:t>
      </w:r>
      <w:r>
        <w:rPr>
          <w:rFonts w:ascii="仿宋" w:hAnsi="仿宋" w:eastAsia="仿宋" w:cs="仿宋"/>
          <w:spacing w:val="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区(市)文化和旅游部门会同本级人力资源社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会保障、乡村振兴部门实时监测非遗工坊存续发展状况，实现信</w:t>
      </w:r>
    </w:p>
    <w:p>
      <w:pPr>
        <w:spacing w:line="222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息动态更新。</w:t>
      </w:r>
    </w:p>
    <w:p>
      <w:pPr>
        <w:spacing w:before="176" w:line="338" w:lineRule="auto"/>
        <w:ind w:left="44" w:right="71" w:firstLine="6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30"/>
          <w:sz w:val="29"/>
          <w:szCs w:val="29"/>
        </w:rPr>
        <w:t>第二十六条</w:t>
      </w:r>
      <w:r>
        <w:rPr>
          <w:rFonts w:ascii="仿宋" w:hAnsi="仿宋" w:eastAsia="仿宋" w:cs="仿宋"/>
          <w:spacing w:val="3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0"/>
          <w:sz w:val="29"/>
          <w:szCs w:val="29"/>
        </w:rPr>
        <w:t>市文化和旅游部门会同本级人力资源社会保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障、乡村振兴部门，结合自身职责，加强对本辖区非遗工坊的指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导和扶持，对成效突出、社会影响好的非遗工坊，在政策、</w:t>
      </w:r>
      <w:r>
        <w:rPr>
          <w:rFonts w:ascii="仿宋" w:hAnsi="仿宋" w:eastAsia="仿宋" w:cs="仿宋"/>
          <w:spacing w:val="12"/>
          <w:sz w:val="29"/>
          <w:szCs w:val="29"/>
        </w:rPr>
        <w:t>项目</w:t>
      </w:r>
    </w:p>
    <w:p>
      <w:pPr>
        <w:spacing w:before="1" w:line="220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申报、队伍培育、资金保障等方面，应给予扶持。</w:t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95" w:line="222" w:lineRule="auto"/>
        <w:ind w:left="3679"/>
        <w:outlineLvl w:val="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五、</w:t>
      </w:r>
      <w:r>
        <w:rPr>
          <w:rFonts w:ascii="黑体" w:hAnsi="黑体" w:eastAsia="黑体" w:cs="黑体"/>
          <w:spacing w:val="-4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附则</w:t>
      </w:r>
    </w:p>
    <w:p>
      <w:pPr>
        <w:spacing w:before="201" w:line="532" w:lineRule="exact"/>
        <w:ind w:left="6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8"/>
          <w:position w:val="17"/>
          <w:sz w:val="29"/>
          <w:szCs w:val="29"/>
        </w:rPr>
        <w:t>第二十七条</w:t>
      </w:r>
      <w:r>
        <w:rPr>
          <w:rFonts w:ascii="仿宋" w:hAnsi="仿宋" w:eastAsia="仿宋" w:cs="仿宋"/>
          <w:spacing w:val="17"/>
          <w:position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position w:val="17"/>
          <w:sz w:val="29"/>
          <w:szCs w:val="29"/>
        </w:rPr>
        <w:t>本办法由市文化和旅游局会同市人力资源和</w:t>
      </w:r>
      <w:r>
        <w:rPr>
          <w:rFonts w:ascii="仿宋" w:hAnsi="仿宋" w:eastAsia="仿宋" w:cs="仿宋"/>
          <w:spacing w:val="17"/>
          <w:position w:val="17"/>
          <w:sz w:val="29"/>
          <w:szCs w:val="29"/>
        </w:rPr>
        <w:t>社</w:t>
      </w:r>
    </w:p>
    <w:p>
      <w:pPr>
        <w:spacing w:before="1" w:line="220" w:lineRule="auto"/>
        <w:ind w:left="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会保障局、市乡村振兴局负责解释。</w:t>
      </w:r>
    </w:p>
    <w:p>
      <w:pPr>
        <w:spacing w:before="181" w:line="220" w:lineRule="auto"/>
        <w:ind w:left="6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3"/>
          <w:sz w:val="29"/>
          <w:szCs w:val="29"/>
        </w:rPr>
        <w:t>第二十八条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本办法自公布之日起实施。</w:t>
      </w:r>
    </w:p>
    <w:p>
      <w:pPr>
        <w:sectPr>
          <w:footerReference r:id="rId10" w:type="default"/>
          <w:pgSz w:w="11900" w:h="16820"/>
          <w:pgMar w:top="1429" w:right="1504" w:bottom="1923" w:left="1785" w:header="0" w:footer="1664" w:gutter="0"/>
          <w:cols w:space="720" w:num="1"/>
        </w:sectPr>
      </w:pPr>
    </w:p>
    <w:p>
      <w:pPr>
        <w:spacing w:before="159" w:line="182" w:lineRule="exact"/>
        <w:rPr>
          <w:rFonts w:ascii="宋体" w:hAnsi="宋体" w:eastAsia="宋体" w:cs="宋体"/>
          <w:sz w:val="26"/>
          <w:szCs w:val="26"/>
        </w:rPr>
      </w:pPr>
      <w:bookmarkStart w:id="0" w:name="_GoBack"/>
      <w:bookmarkEnd w:id="0"/>
    </w:p>
    <w:sectPr>
      <w:footerReference r:id="rId11" w:type="default"/>
      <w:type w:val="continuous"/>
      <w:pgSz w:w="11900" w:h="16820"/>
      <w:pgMar w:top="1504" w:right="400" w:bottom="1454" w:left="1011" w:header="0" w:footer="0" w:gutter="0"/>
      <w:cols w:equalWidth="0" w:num="1">
        <w:col w:w="138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98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994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04"/>
      <w:rPr>
        <w:rFonts w:ascii="宋体" w:hAnsi="宋体" w:eastAsia="宋体" w:cs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84"/>
      <w:rPr>
        <w:rFonts w:ascii="宋体" w:hAnsi="宋体" w:eastAsia="宋体" w:cs="宋体"/>
        <w:sz w:val="26"/>
        <w:szCs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34"/>
      <w:rPr>
        <w:rFonts w:ascii="宋体" w:hAnsi="宋体" w:eastAsia="宋体" w:cs="宋体"/>
        <w:sz w:val="23"/>
        <w:szCs w:val="23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44"/>
      <w:rPr>
        <w:rFonts w:ascii="宋体" w:hAnsi="宋体" w:eastAsia="宋体" w:cs="宋体"/>
        <w:sz w:val="26"/>
        <w:szCs w:val="2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4N2NlZTM5ZTcyNjgzMDRjM2RlNzQxYzg2ZmVlYTEifQ=="/>
  </w:docVars>
  <w:rsids>
    <w:rsidRoot w:val="00000000"/>
    <w:rsid w:val="02556617"/>
    <w:rsid w:val="04FD540E"/>
    <w:rsid w:val="326D2F5F"/>
    <w:rsid w:val="4B6C1242"/>
    <w:rsid w:val="5E743A82"/>
    <w:rsid w:val="63FA2CB3"/>
    <w:rsid w:val="766C1E9B"/>
    <w:rsid w:val="7D4F6F05"/>
    <w:rsid w:val="7EB5C137"/>
    <w:rsid w:val="9F3F2D06"/>
    <w:rsid w:val="FFEE3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4728</Words>
  <Characters>4849</Characters>
  <TotalTime>0</TotalTime>
  <ScaleCrop>false</ScaleCrop>
  <LinksUpToDate>false</LinksUpToDate>
  <CharactersWithSpaces>5060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2023-08-30T01:30:00Z</dcterms:created>
  <dc:creator>Kingsoft-PDF</dc:creator>
  <cp:lastModifiedBy>鲸鱼打倒小洲喵</cp:lastModifiedBy>
  <dcterms:modified xsi:type="dcterms:W3CDTF">2024-11-01T10:51:21Z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2023-08-28T17:30:49Z</vt:filetime>
  </property>
  <property fmtid="{D5CDD505-2E9C-101B-9397-08002B2CF9AE}" pid="4" name="UsrData">
    <vt:lpwstr>64ec6943dd0b8d001f9370a8wl</vt:lpwstr>
  </property>
  <property fmtid="{D5CDD505-2E9C-101B-9397-08002B2CF9AE}" pid="5" name="KSOProductBuildVer">
    <vt:lpwstr>2052-12.8.2.1113</vt:lpwstr>
  </property>
  <property fmtid="{D5CDD505-2E9C-101B-9397-08002B2CF9AE}" pid="6" name="ICV">
    <vt:lpwstr>8EC380852C85BA943D3F2467A20B57F5_43</vt:lpwstr>
  </property>
</Properties>
</file>