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223CA">
      <w:pPr>
        <w:keepNext w:val="0"/>
        <w:keepLines w:val="0"/>
        <w:pageBreakBefore w:val="0"/>
        <w:widowControl w:val="0"/>
        <w:kinsoku/>
        <w:wordWrap/>
        <w:overflowPunct/>
        <w:topLinePunct w:val="0"/>
        <w:autoSpaceDE/>
        <w:autoSpaceDN/>
        <w:bidi w:val="0"/>
        <w:adjustRightInd/>
        <w:snapToGrid w:val="0"/>
        <w:spacing w:line="200" w:lineRule="atLeast"/>
        <w:ind w:left="0"/>
        <w:jc w:val="center"/>
        <w:textAlignment w:val="auto"/>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color w:val="auto"/>
          <w:sz w:val="44"/>
          <w:szCs w:val="44"/>
        </w:rPr>
        <w:t>“</w:t>
      </w:r>
      <w:bookmarkStart w:id="0" w:name="_GoBack"/>
      <w:bookmarkEnd w:id="0"/>
      <w:r>
        <w:rPr>
          <w:rFonts w:hint="eastAsia" w:ascii="方正小标宋简体" w:hAnsi="方正小标宋简体" w:eastAsia="方正小标宋简体" w:cs="方正小标宋简体"/>
          <w:b/>
          <w:color w:val="auto"/>
          <w:sz w:val="44"/>
          <w:szCs w:val="44"/>
        </w:rPr>
        <w:t>荷”你“童”行·共护未来</w:t>
      </w:r>
    </w:p>
    <w:p w14:paraId="21FCF2C1">
      <w:pPr>
        <w:keepNext w:val="0"/>
        <w:keepLines w:val="0"/>
        <w:pageBreakBefore w:val="0"/>
        <w:widowControl w:val="0"/>
        <w:kinsoku/>
        <w:wordWrap/>
        <w:overflowPunct/>
        <w:topLinePunct w:val="0"/>
        <w:autoSpaceDE/>
        <w:autoSpaceDN/>
        <w:bidi w:val="0"/>
        <w:adjustRightInd/>
        <w:snapToGrid w:val="0"/>
        <w:spacing w:line="200" w:lineRule="atLeast"/>
        <w:ind w:lef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b/>
          <w:color w:val="auto"/>
          <w:sz w:val="44"/>
          <w:szCs w:val="44"/>
        </w:rPr>
        <w:t>暑期关爱夏令营家长知情同意与安全协议书</w:t>
      </w:r>
    </w:p>
    <w:p w14:paraId="00905222">
      <w:pPr>
        <w:spacing w:before="120" w:after="120" w:line="288" w:lineRule="auto"/>
        <w:ind w:left="0"/>
        <w:jc w:val="left"/>
        <w:rPr>
          <w:rFonts w:hint="eastAsia" w:ascii="宋体" w:hAnsi="宋体" w:eastAsia="宋体" w:cs="宋体"/>
          <w:color w:val="auto"/>
          <w:sz w:val="24"/>
          <w:szCs w:val="24"/>
        </w:rPr>
      </w:pPr>
    </w:p>
    <w:p w14:paraId="22CC1C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rPr>
        <w:t>甲</w:t>
      </w:r>
      <w:r>
        <w:rPr>
          <w:rFonts w:hint="eastAsia" w:ascii="方正仿宋_GB2312" w:hAnsi="方正仿宋_GB2312" w:eastAsia="方正仿宋_GB2312" w:cs="方正仿宋_GB2312"/>
          <w:b w:val="0"/>
          <w:bCs w:val="0"/>
          <w:sz w:val="30"/>
          <w:szCs w:val="30"/>
          <w:lang w:val="en-US" w:eastAsia="zh-CN"/>
        </w:rPr>
        <w:t xml:space="preserve">  </w:t>
      </w:r>
      <w:r>
        <w:rPr>
          <w:rFonts w:hint="eastAsia" w:ascii="方正仿宋_GB2312" w:hAnsi="方正仿宋_GB2312" w:eastAsia="方正仿宋_GB2312" w:cs="方正仿宋_GB2312"/>
          <w:b w:val="0"/>
          <w:bCs w:val="0"/>
          <w:sz w:val="30"/>
          <w:szCs w:val="30"/>
        </w:rPr>
        <w:t>方：</w:t>
      </w:r>
      <w:r>
        <w:rPr>
          <w:rFonts w:hint="eastAsia" w:ascii="方正仿宋_GB2312" w:hAnsi="方正仿宋_GB2312" w:eastAsia="方正仿宋_GB2312" w:cs="方正仿宋_GB2312"/>
          <w:b w:val="0"/>
          <w:bCs w:val="0"/>
          <w:sz w:val="30"/>
          <w:szCs w:val="30"/>
          <w:lang w:val="en-US" w:eastAsia="zh-CN"/>
        </w:rPr>
        <w:t>(监护人姓名）</w:t>
      </w:r>
      <w:r>
        <w:rPr>
          <w:rFonts w:hint="eastAsia" w:ascii="方正仿宋_GB2312" w:hAnsi="方正仿宋_GB2312" w:eastAsia="方正仿宋_GB2312" w:cs="方正仿宋_GB2312"/>
          <w:b w:val="0"/>
          <w:bCs w:val="0"/>
          <w:sz w:val="30"/>
          <w:szCs w:val="30"/>
          <w:u w:val="single"/>
          <w:lang w:val="en-US" w:eastAsia="zh-CN"/>
        </w:rPr>
        <w:t xml:space="preserve">           </w:t>
      </w:r>
      <w:r>
        <w:rPr>
          <w:rFonts w:hint="eastAsia" w:ascii="方正仿宋_GB2312" w:hAnsi="方正仿宋_GB2312" w:eastAsia="方正仿宋_GB2312" w:cs="方正仿宋_GB2312"/>
          <w:b w:val="0"/>
          <w:bCs w:val="0"/>
          <w:sz w:val="30"/>
          <w:szCs w:val="30"/>
          <w:lang w:val="en-US" w:eastAsia="zh-CN"/>
        </w:rPr>
        <w:t xml:space="preserve">            </w:t>
      </w:r>
    </w:p>
    <w:p w14:paraId="788530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rPr>
        <w:t>乙</w:t>
      </w:r>
      <w:r>
        <w:rPr>
          <w:rFonts w:hint="eastAsia" w:ascii="方正仿宋_GB2312" w:hAnsi="方正仿宋_GB2312" w:eastAsia="方正仿宋_GB2312" w:cs="方正仿宋_GB2312"/>
          <w:b w:val="0"/>
          <w:bCs w:val="0"/>
          <w:sz w:val="30"/>
          <w:szCs w:val="30"/>
          <w:lang w:val="en-US" w:eastAsia="zh-CN"/>
        </w:rPr>
        <w:t xml:space="preserve">  </w:t>
      </w:r>
      <w:r>
        <w:rPr>
          <w:rFonts w:hint="eastAsia" w:ascii="方正仿宋_GB2312" w:hAnsi="方正仿宋_GB2312" w:eastAsia="方正仿宋_GB2312" w:cs="方正仿宋_GB2312"/>
          <w:b w:val="0"/>
          <w:bCs w:val="0"/>
          <w:sz w:val="30"/>
          <w:szCs w:val="30"/>
        </w:rPr>
        <w:t>方：</w:t>
      </w:r>
      <w:r>
        <w:rPr>
          <w:rFonts w:hint="eastAsia" w:ascii="方正仿宋_GB2312" w:hAnsi="方正仿宋_GB2312" w:eastAsia="方正仿宋_GB2312" w:cs="方正仿宋_GB2312"/>
          <w:b w:val="0"/>
          <w:bCs w:val="0"/>
          <w:sz w:val="30"/>
          <w:szCs w:val="30"/>
          <w:lang w:val="en-US" w:eastAsia="zh-CN"/>
        </w:rPr>
        <w:t>山东</w:t>
      </w:r>
      <w:r>
        <w:rPr>
          <w:rFonts w:hint="eastAsia" w:ascii="方正仿宋_GB2312" w:hAnsi="方正仿宋_GB2312" w:eastAsia="方正仿宋_GB2312" w:cs="方正仿宋_GB2312"/>
          <w:b w:val="0"/>
          <w:bCs w:val="0"/>
          <w:sz w:val="30"/>
          <w:szCs w:val="30"/>
        </w:rPr>
        <w:t>善研教育</w:t>
      </w:r>
      <w:r>
        <w:rPr>
          <w:rFonts w:hint="eastAsia" w:ascii="方正仿宋_GB2312" w:hAnsi="方正仿宋_GB2312" w:eastAsia="方正仿宋_GB2312" w:cs="方正仿宋_GB2312"/>
          <w:b w:val="0"/>
          <w:bCs w:val="0"/>
          <w:sz w:val="30"/>
          <w:szCs w:val="30"/>
          <w:lang w:val="en-US" w:eastAsia="zh-CN"/>
        </w:rPr>
        <w:t>服务有限公司</w:t>
      </w:r>
    </w:p>
    <w:p w14:paraId="406253B7">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为确保“‘荷’你‘童’行·共护未来”2026年困境儿童暑期关爱夏令营活动安全、有序开展，明确双方权利义务，特别是风险承担与责任界限，经甲乙双方平等协商，达成如下协议：</w:t>
      </w:r>
    </w:p>
    <w:p w14:paraId="088BFD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0"/>
          <w:szCs w:val="30"/>
        </w:rPr>
      </w:pPr>
      <w:r>
        <w:rPr>
          <w:rFonts w:hint="eastAsia" w:ascii="黑体" w:hAnsi="黑体" w:eastAsia="黑体" w:cs="黑体"/>
          <w:b/>
          <w:bCs/>
          <w:sz w:val="30"/>
          <w:szCs w:val="30"/>
        </w:rPr>
        <w:t>一、夏令营基础信息</w:t>
      </w:r>
    </w:p>
    <w:p w14:paraId="2B04F9BD">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服务名称：“荷”你“童”行·共护未来—2026年困境儿童暑期关爱夏令营</w:t>
      </w:r>
    </w:p>
    <w:p w14:paraId="53EFC156">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服务周期：2026年8月16日至8月21日（共5天5夜）</w:t>
      </w:r>
    </w:p>
    <w:p w14:paraId="5A34F7B7">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服务地点：滕州微山湖红荷湿地景区、临沂市</w:t>
      </w:r>
    </w:p>
    <w:p w14:paraId="13BD73D8">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接送安排：按《接送服务方案》执行，甲方须在指定时间、地点完成书面交接签字。</w:t>
      </w:r>
    </w:p>
    <w:p w14:paraId="58E6D2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0"/>
          <w:szCs w:val="30"/>
        </w:rPr>
      </w:pPr>
      <w:r>
        <w:rPr>
          <w:rFonts w:hint="eastAsia" w:ascii="黑体" w:hAnsi="黑体" w:eastAsia="黑体" w:cs="黑体"/>
          <w:b/>
          <w:bCs/>
          <w:sz w:val="30"/>
          <w:szCs w:val="30"/>
        </w:rPr>
        <w:t>二、甲方（监护人）权利与义务</w:t>
      </w:r>
    </w:p>
    <w:p w14:paraId="5239055D">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甲方保证所提供儿童及家庭信息真实、完整，并确认儿童符合本次夏令营服务对象条件。</w:t>
      </w:r>
    </w:p>
    <w:p w14:paraId="0A63D44F">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甲方须如实、详细填写《儿童报名登记表》，包括但不限于：</w:t>
      </w:r>
    </w:p>
    <w:p w14:paraId="0CBFB31D">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既往病史、过敏史、慢性疾病；心理行为特征（如多动、自闭、惊厥、癫痫等）；特殊饮食或药物需求</w:t>
      </w:r>
      <w:r>
        <w:rPr>
          <w:rFonts w:hint="eastAsia" w:ascii="方正仿宋_GB2312" w:hAnsi="方正仿宋_GB2312" w:eastAsia="方正仿宋_GB2312" w:cs="方正仿宋_GB2312"/>
          <w:b w:val="0"/>
          <w:bCs w:val="0"/>
          <w:sz w:val="30"/>
          <w:szCs w:val="30"/>
          <w:lang w:eastAsia="zh-CN"/>
        </w:rPr>
        <w:t>，</w:t>
      </w:r>
      <w:r>
        <w:rPr>
          <w:rFonts w:hint="eastAsia" w:ascii="方正仿宋_GB2312" w:hAnsi="方正仿宋_GB2312" w:eastAsia="方正仿宋_GB2312" w:cs="方正仿宋_GB2312"/>
          <w:b w:val="0"/>
          <w:bCs w:val="0"/>
          <w:sz w:val="30"/>
          <w:szCs w:val="30"/>
        </w:rPr>
        <w:t>如因隐瞒或漏报上述信息导致任何不良后果（包括摔伤、突发疾病、过敏反应等），责任由甲方自行承担，乙方不承担法律责任。</w:t>
      </w:r>
    </w:p>
    <w:p w14:paraId="67E348D2">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甲方须按约定时间、地点亲自或指定固定受托人接送儿童，并与乙方工作人员完成书面交接签字。</w:t>
      </w:r>
    </w:p>
    <w:p w14:paraId="4EE3E25B">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如变更接送人，须至少提前半天电话通知乙方，并提供书面委托书；</w:t>
      </w:r>
    </w:p>
    <w:p w14:paraId="42153ABB">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未办理交接手续前，儿童仍视为在甲方监护范围内，乙方不承担相应时段的安全责任。</w:t>
      </w:r>
    </w:p>
    <w:p w14:paraId="41D5B48C">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夏令营期间，甲方须保持通讯畅通（至少2个有效联系方式），如有变更应立即通知乙方。因联系不上导致的一切后果，由甲方承担。</w:t>
      </w:r>
    </w:p>
    <w:p w14:paraId="659836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0"/>
          <w:szCs w:val="30"/>
        </w:rPr>
      </w:pPr>
      <w:r>
        <w:rPr>
          <w:rFonts w:hint="eastAsia" w:ascii="黑体" w:hAnsi="黑体" w:eastAsia="黑体" w:cs="黑体"/>
          <w:b/>
          <w:bCs/>
          <w:sz w:val="30"/>
          <w:szCs w:val="30"/>
        </w:rPr>
        <w:t>三、乙方责任与承诺</w:t>
      </w:r>
    </w:p>
    <w:p w14:paraId="5B6995AD">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乙方提供符合国家安全标准的场地、活动设施及教学用具，并定期检查维护。</w:t>
      </w:r>
    </w:p>
    <w:p w14:paraId="44E1532F">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乙方为在册儿童购买人身意外伤害保险，并在保险责任范围内协助理赔。</w:t>
      </w:r>
    </w:p>
    <w:p w14:paraId="540386E1">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乙方配备合格的工作人员，负责儿童日常照料、活动组织。</w:t>
      </w:r>
    </w:p>
    <w:p w14:paraId="448318C8">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乙方提供符合卫生标准的餐饮，并留存食品留样备查。</w:t>
      </w:r>
    </w:p>
    <w:p w14:paraId="5930CEF5">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乙方建立安全管理制度及应急预案，工作人员接受安全培训。</w:t>
      </w:r>
    </w:p>
    <w:p w14:paraId="58923252">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如儿童发生意外伤害或突发疾病，乙方将第一时间采取合理救助措施（如现场处理、联系急救、通知甲方），并视情况送医。</w:t>
      </w:r>
    </w:p>
    <w:p w14:paraId="6D67C196">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乙方不承担因甲方未及时接听电话或延迟到达就医场所而导致的后果。</w:t>
      </w:r>
    </w:p>
    <w:p w14:paraId="1F10B4BB">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乙方尊重儿童人格尊严，保护儿童隐私，严禁歧视、体罚或变相体罚。</w:t>
      </w:r>
    </w:p>
    <w:p w14:paraId="6C39CF5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bCs/>
          <w:sz w:val="30"/>
          <w:szCs w:val="30"/>
        </w:rPr>
      </w:pPr>
      <w:r>
        <w:rPr>
          <w:rFonts w:hint="eastAsia" w:ascii="黑体" w:hAnsi="黑体" w:eastAsia="黑体" w:cs="黑体"/>
          <w:b/>
          <w:bCs/>
          <w:kern w:val="2"/>
          <w:sz w:val="30"/>
          <w:szCs w:val="30"/>
          <w:lang w:val="en-US" w:eastAsia="zh-CN" w:bidi="ar-SA"/>
        </w:rPr>
        <w:t>四、</w:t>
      </w:r>
      <w:r>
        <w:rPr>
          <w:rFonts w:hint="eastAsia" w:ascii="黑体" w:hAnsi="黑体" w:eastAsia="黑体" w:cs="黑体"/>
          <w:b/>
          <w:bCs/>
          <w:sz w:val="30"/>
          <w:szCs w:val="30"/>
        </w:rPr>
        <w:t>安全责任划分与免责条款</w:t>
      </w:r>
    </w:p>
    <w:p w14:paraId="758680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1.乙方已为儿童购买保险。儿童在营期间因乙方管理责任造成的意外伤害，乙方将依据保险条款及相关法律规定积极协调处理，但赔偿责任以保险赔付及法律认定责任为限。</w:t>
      </w:r>
    </w:p>
    <w:p w14:paraId="1F9F1A38">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2.下列情形下，乙方如已履行合理注意义务且行为无不当，不承担法律责任：</w:t>
      </w:r>
    </w:p>
    <w:p w14:paraId="281BB8E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（1）来自夏令营外部突发的、不可预见的侵害（如自然灾害、第三方暴力事件等）；</w:t>
      </w:r>
    </w:p>
    <w:p w14:paraId="6752740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（2）儿童因特异体质、特定疾病或异常心理状态导致伤害，且甲方未事先告知，或乙方在合理范围内难以知晓；</w:t>
      </w:r>
    </w:p>
    <w:p w14:paraId="08C9F610">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（3）儿童在接送途中（即甲方交接前或交接后）发生的意外，但能够证明属乙方校车或工作人员明显过错的除外；</w:t>
      </w:r>
    </w:p>
    <w:p w14:paraId="2D750C70">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（4）儿童在正常的户外活动、体育游戏或拓展训练中发生轻微擦伤、磕碰、扭伤等常见运动风险，乙方已提前进行安全提示并采取基本防护措施；</w:t>
      </w:r>
    </w:p>
    <w:p w14:paraId="1B7CCC5B">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（5）儿童因自身行为不当（如擅自离队、攀爬、打闹、不听从指挥）导致的摔伤、碰撞或其他伤害；</w:t>
      </w:r>
    </w:p>
    <w:p w14:paraId="4DA21FB4">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（6）儿童突发疾病（如高热、惊厥、哮喘等），但乙方已及时通知甲方并协助送医；</w:t>
      </w:r>
    </w:p>
    <w:p w14:paraId="6C4B52EB">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（7）其他不能归责于乙方的意外因素。</w:t>
      </w:r>
    </w:p>
    <w:p w14:paraId="48C6BA52">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3.甲方未按约定时间接送儿童，或在非乙方管理时段内发生的安全事故，责任由甲方全部承担。</w:t>
      </w:r>
    </w:p>
    <w:p w14:paraId="6FF2AC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0"/>
          <w:szCs w:val="30"/>
        </w:rPr>
      </w:pPr>
      <w:r>
        <w:rPr>
          <w:rFonts w:hint="eastAsia" w:ascii="黑体" w:hAnsi="黑体" w:eastAsia="黑体" w:cs="黑体"/>
          <w:b/>
          <w:bCs/>
          <w:sz w:val="30"/>
          <w:szCs w:val="30"/>
        </w:rPr>
        <w:t>五、特别约定</w:t>
      </w:r>
    </w:p>
    <w:p w14:paraId="16CFF717">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lang w:val="en-US" w:eastAsia="zh-CN"/>
        </w:rPr>
        <w:t>1.</w:t>
      </w:r>
      <w:r>
        <w:rPr>
          <w:rFonts w:hint="eastAsia" w:ascii="方正仿宋_GB2312" w:hAnsi="方正仿宋_GB2312" w:eastAsia="方正仿宋_GB2312" w:cs="方正仿宋_GB2312"/>
          <w:b w:val="0"/>
          <w:bCs w:val="0"/>
          <w:sz w:val="30"/>
          <w:szCs w:val="30"/>
        </w:rPr>
        <w:t>如儿童患有传染性疾病或在营期间出现高热、持续呕吐等严重不适，乙方有权要求甲方立即接回儿童就医或居家休息，甲方须在接到通知后2小时内响应并安排接回。</w:t>
      </w:r>
    </w:p>
    <w:p w14:paraId="4FD0748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lang w:val="en-US" w:eastAsia="zh-CN"/>
        </w:rPr>
        <w:t>2.</w:t>
      </w:r>
      <w:r>
        <w:rPr>
          <w:rFonts w:hint="eastAsia" w:ascii="方正仿宋_GB2312" w:hAnsi="方正仿宋_GB2312" w:eastAsia="方正仿宋_GB2312" w:cs="方正仿宋_GB2312"/>
          <w:b w:val="0"/>
          <w:bCs w:val="0"/>
          <w:sz w:val="30"/>
          <w:szCs w:val="30"/>
        </w:rPr>
        <w:t>乙方有权在营期内拍摄活动照片、视频，用于内部资料存档或公益性宣传，但不得用于商业用途。甲方如有异议，须在签订协议时书面提出。</w:t>
      </w:r>
    </w:p>
    <w:p w14:paraId="330F9F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0"/>
          <w:szCs w:val="30"/>
        </w:rPr>
      </w:pPr>
      <w:r>
        <w:rPr>
          <w:rFonts w:hint="eastAsia" w:ascii="黑体" w:hAnsi="黑体" w:eastAsia="黑体" w:cs="黑体"/>
          <w:b/>
          <w:bCs/>
          <w:sz w:val="30"/>
          <w:szCs w:val="30"/>
        </w:rPr>
        <w:t>六、协议生效与期限</w:t>
      </w:r>
    </w:p>
    <w:p w14:paraId="79B8E7F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本协议一式两份，甲乙双方各执一份，自双方签字（盖章）之日起生效，有效期至本次</w:t>
      </w:r>
      <w:r>
        <w:rPr>
          <w:rFonts w:hint="eastAsia" w:ascii="方正仿宋_GB2312" w:hAnsi="方正仿宋_GB2312" w:eastAsia="方正仿宋_GB2312" w:cs="方正仿宋_GB2312"/>
          <w:sz w:val="30"/>
          <w:szCs w:val="30"/>
          <w:lang w:val="en-US" w:eastAsia="zh-CN"/>
        </w:rPr>
        <w:t>夏令营活动</w:t>
      </w:r>
      <w:r>
        <w:rPr>
          <w:rFonts w:hint="eastAsia" w:ascii="方正仿宋_GB2312" w:hAnsi="方正仿宋_GB2312" w:eastAsia="方正仿宋_GB2312" w:cs="方正仿宋_GB2312"/>
          <w:sz w:val="30"/>
          <w:szCs w:val="30"/>
        </w:rPr>
        <w:t>全部结束、费用及责任清算完毕时止。</w:t>
      </w:r>
    </w:p>
    <w:p w14:paraId="643FA1CD">
      <w:pPr>
        <w:keepNext w:val="0"/>
        <w:keepLines w:val="0"/>
        <w:pageBreakBefore w:val="0"/>
        <w:widowControl w:val="0"/>
        <w:kinsoku/>
        <w:wordWrap/>
        <w:overflowPunct/>
        <w:topLinePunct w:val="0"/>
        <w:autoSpaceDE/>
        <w:autoSpaceDN/>
        <w:bidi w:val="0"/>
        <w:adjustRightInd/>
        <w:snapToGrid/>
        <w:spacing w:line="560" w:lineRule="exact"/>
        <w:ind w:left="479" w:leftChars="228" w:firstLine="0" w:firstLineChars="0"/>
        <w:textAlignment w:val="auto"/>
        <w:rPr>
          <w:rFonts w:hint="eastAsia" w:ascii="方正仿宋_GB2312" w:hAnsi="方正仿宋_GB2312" w:eastAsia="方正仿宋_GB2312" w:cs="方正仿宋_GB2312"/>
          <w:b/>
          <w:bCs/>
          <w:sz w:val="30"/>
          <w:szCs w:val="30"/>
        </w:rPr>
      </w:pPr>
    </w:p>
    <w:p w14:paraId="5DB54B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甲方（监护人）确认：</w:t>
      </w:r>
      <w:r>
        <w:rPr>
          <w:rFonts w:hint="eastAsia" w:ascii="方正仿宋_GB2312" w:hAnsi="方正仿宋_GB2312" w:eastAsia="方正仿宋_GB2312" w:cs="方正仿宋_GB2312"/>
          <w:sz w:val="30"/>
          <w:szCs w:val="30"/>
        </w:rPr>
        <w:br w:type="textWrapping"/>
      </w:r>
      <w:r>
        <w:rPr>
          <w:rFonts w:hint="eastAsia" w:ascii="方正仿宋_GB2312" w:hAnsi="方正仿宋_GB2312" w:eastAsia="方正仿宋_GB2312" w:cs="方正仿宋_GB2312"/>
          <w:sz w:val="30"/>
          <w:szCs w:val="30"/>
        </w:rPr>
        <w:t>我已仔细阅读并完全理解以上全部条款，同意遵守。</w:t>
      </w:r>
    </w:p>
    <w:p w14:paraId="54D050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0"/>
          <w:szCs w:val="30"/>
          <w:u w:val="single"/>
          <w:lang w:val="en-US" w:eastAsia="zh-CN"/>
        </w:rPr>
      </w:pPr>
      <w:r>
        <w:rPr>
          <w:rFonts w:hint="eastAsia" w:ascii="方正仿宋_GB2312" w:hAnsi="方正仿宋_GB2312" w:eastAsia="方正仿宋_GB2312" w:cs="方正仿宋_GB2312"/>
          <w:sz w:val="30"/>
          <w:szCs w:val="30"/>
        </w:rPr>
        <w:t>监护人姓名（签字）：</w:t>
      </w:r>
      <w:r>
        <w:rPr>
          <w:rFonts w:hint="eastAsia" w:ascii="方正仿宋_GB2312" w:hAnsi="方正仿宋_GB2312" w:eastAsia="方正仿宋_GB2312" w:cs="方正仿宋_GB2312"/>
          <w:sz w:val="30"/>
          <w:szCs w:val="30"/>
          <w:u w:val="single"/>
          <w:lang w:val="en-US" w:eastAsia="zh-CN"/>
        </w:rPr>
        <w:t xml:space="preserve">               </w:t>
      </w:r>
    </w:p>
    <w:p w14:paraId="52F1C8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联系电话：</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u w:val="single"/>
        </w:rPr>
        <w:br w:type="textWrapping"/>
      </w:r>
      <w:r>
        <w:rPr>
          <w:rFonts w:hint="eastAsia" w:ascii="方正仿宋_GB2312" w:hAnsi="方正仿宋_GB2312" w:eastAsia="方正仿宋_GB2312" w:cs="方正仿宋_GB2312"/>
          <w:sz w:val="30"/>
          <w:szCs w:val="30"/>
        </w:rPr>
        <w:t>日</w:t>
      </w:r>
      <w:r>
        <w:rPr>
          <w:rFonts w:hint="eastAsia" w:ascii="方正仿宋_GB2312" w:hAnsi="方正仿宋_GB2312" w:eastAsia="方正仿宋_GB2312" w:cs="方正仿宋_GB2312"/>
          <w:sz w:val="30"/>
          <w:szCs w:val="30"/>
          <w:lang w:val="en-US" w:eastAsia="zh-CN"/>
        </w:rPr>
        <w:t xml:space="preserve">    </w:t>
      </w:r>
      <w:r>
        <w:rPr>
          <w:rFonts w:hint="eastAsia" w:ascii="方正仿宋_GB2312" w:hAnsi="方正仿宋_GB2312" w:eastAsia="方正仿宋_GB2312" w:cs="方正仿宋_GB2312"/>
          <w:sz w:val="30"/>
          <w:szCs w:val="30"/>
        </w:rPr>
        <w:t>期：</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rPr>
        <w:t>年</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rPr>
        <w:t>月</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rPr>
        <w:t>日</w:t>
      </w:r>
    </w:p>
    <w:p w14:paraId="0C69EC5C">
      <w:pPr>
        <w:keepNext w:val="0"/>
        <w:keepLines w:val="0"/>
        <w:pageBreakBefore w:val="0"/>
        <w:widowControl w:val="0"/>
        <w:kinsoku/>
        <w:wordWrap/>
        <w:overflowPunct/>
        <w:topLinePunct w:val="0"/>
        <w:autoSpaceDE/>
        <w:autoSpaceDN/>
        <w:bidi w:val="0"/>
        <w:adjustRightInd/>
        <w:snapToGrid/>
        <w:spacing w:line="560" w:lineRule="exact"/>
        <w:ind w:left="479" w:leftChars="228" w:firstLine="0" w:firstLineChars="0"/>
        <w:textAlignment w:val="auto"/>
        <w:rPr>
          <w:rFonts w:hint="eastAsia" w:ascii="方正仿宋_GB2312" w:hAnsi="方正仿宋_GB2312" w:eastAsia="方正仿宋_GB2312" w:cs="方正仿宋_GB2312"/>
          <w:b/>
          <w:bCs/>
          <w:sz w:val="30"/>
          <w:szCs w:val="30"/>
        </w:rPr>
      </w:pPr>
    </w:p>
    <w:p w14:paraId="547BCC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乙方确认：</w:t>
      </w:r>
      <w:r>
        <w:rPr>
          <w:rFonts w:hint="eastAsia" w:ascii="方正仿宋_GB2312" w:hAnsi="方正仿宋_GB2312" w:eastAsia="方正仿宋_GB2312" w:cs="方正仿宋_GB2312"/>
          <w:sz w:val="30"/>
          <w:szCs w:val="30"/>
        </w:rPr>
        <w:br w:type="textWrapping"/>
      </w:r>
      <w:r>
        <w:rPr>
          <w:rFonts w:hint="eastAsia" w:ascii="方正仿宋_GB2312" w:hAnsi="方正仿宋_GB2312" w:eastAsia="方正仿宋_GB2312" w:cs="方正仿宋_GB2312"/>
          <w:color w:val="auto"/>
          <w:sz w:val="30"/>
          <w:szCs w:val="30"/>
          <w:lang w:val="en-US" w:eastAsia="zh-CN"/>
        </w:rPr>
        <w:t>山东</w:t>
      </w:r>
      <w:r>
        <w:rPr>
          <w:rFonts w:hint="eastAsia" w:ascii="方正仿宋_GB2312" w:hAnsi="方正仿宋_GB2312" w:eastAsia="方正仿宋_GB2312" w:cs="方正仿宋_GB2312"/>
          <w:color w:val="auto"/>
          <w:sz w:val="30"/>
          <w:szCs w:val="30"/>
        </w:rPr>
        <w:t>善研教育</w:t>
      </w:r>
      <w:r>
        <w:rPr>
          <w:rFonts w:hint="eastAsia" w:ascii="方正仿宋_GB2312" w:hAnsi="方正仿宋_GB2312" w:eastAsia="方正仿宋_GB2312" w:cs="方正仿宋_GB2312"/>
          <w:color w:val="auto"/>
          <w:sz w:val="30"/>
          <w:szCs w:val="30"/>
          <w:lang w:val="en-US" w:eastAsia="zh-CN"/>
        </w:rPr>
        <w:t>服务有限公司</w:t>
      </w:r>
      <w:r>
        <w:rPr>
          <w:rFonts w:hint="eastAsia" w:ascii="方正仿宋_GB2312" w:hAnsi="方正仿宋_GB2312" w:eastAsia="方正仿宋_GB2312" w:cs="方正仿宋_GB2312"/>
          <w:sz w:val="30"/>
          <w:szCs w:val="30"/>
        </w:rPr>
        <w:t>（盖章）</w:t>
      </w:r>
      <w:r>
        <w:rPr>
          <w:rFonts w:hint="eastAsia" w:ascii="方正仿宋_GB2312" w:hAnsi="方正仿宋_GB2312" w:eastAsia="方正仿宋_GB2312" w:cs="方正仿宋_GB2312"/>
          <w:sz w:val="30"/>
          <w:szCs w:val="30"/>
        </w:rPr>
        <w:br w:type="textWrapping"/>
      </w:r>
      <w:r>
        <w:rPr>
          <w:rFonts w:hint="eastAsia" w:ascii="方正仿宋_GB2312" w:hAnsi="方正仿宋_GB2312" w:eastAsia="方正仿宋_GB2312" w:cs="方正仿宋_GB2312"/>
          <w:sz w:val="30"/>
          <w:szCs w:val="30"/>
        </w:rPr>
        <w:t>经办人（签字）：</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u w:val="single"/>
        </w:rPr>
        <w:br w:type="textWrapping"/>
      </w:r>
      <w:r>
        <w:rPr>
          <w:rFonts w:hint="eastAsia" w:ascii="方正仿宋_GB2312" w:hAnsi="方正仿宋_GB2312" w:eastAsia="方正仿宋_GB2312" w:cs="方正仿宋_GB2312"/>
          <w:sz w:val="30"/>
          <w:szCs w:val="30"/>
        </w:rPr>
        <w:t>日</w:t>
      </w:r>
      <w:r>
        <w:rPr>
          <w:rFonts w:hint="eastAsia" w:ascii="方正仿宋_GB2312" w:hAnsi="方正仿宋_GB2312" w:eastAsia="方正仿宋_GB2312" w:cs="方正仿宋_GB2312"/>
          <w:sz w:val="30"/>
          <w:szCs w:val="30"/>
          <w:lang w:val="en-US" w:eastAsia="zh-CN"/>
        </w:rPr>
        <w:t xml:space="preserve">      </w:t>
      </w:r>
      <w:r>
        <w:rPr>
          <w:rFonts w:hint="eastAsia" w:ascii="方正仿宋_GB2312" w:hAnsi="方正仿宋_GB2312" w:eastAsia="方正仿宋_GB2312" w:cs="方正仿宋_GB2312"/>
          <w:sz w:val="30"/>
          <w:szCs w:val="30"/>
        </w:rPr>
        <w:t>期：</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rPr>
        <w:t>年</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rPr>
        <w:t>月</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rPr>
        <w:t>日</w:t>
      </w:r>
    </w:p>
    <w:sectPr>
      <w:footerReference r:id="rId3" w:type="default"/>
      <w:pgSz w:w="11906" w:h="16838"/>
      <w:pgMar w:top="1701" w:right="1587"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6C0C62-4476-482D-9C8F-2802C321AA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29DA69E-1EDA-4586-BC1C-D3328B60E388}"/>
  </w:font>
  <w:font w:name="方正仿宋_GB2312">
    <w:panose1 w:val="02000000000000000000"/>
    <w:charset w:val="86"/>
    <w:family w:val="auto"/>
    <w:pitch w:val="default"/>
    <w:sig w:usb0="A00002BF" w:usb1="184F6CFA" w:usb2="00000012" w:usb3="00000000" w:csb0="00040001" w:csb1="00000000"/>
    <w:embedRegular r:id="rId3" w:fontKey="{E074599E-1782-48D8-9A8B-64D1D3F8C4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2A2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05A16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105A16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jZWNlNDk2MTJkMTljYzJjNWRmYjczMzQzNDE5ZDAifQ=="/>
  </w:docVars>
  <w:rsids>
    <w:rsidRoot w:val="4D9E376F"/>
    <w:rsid w:val="077E62DB"/>
    <w:rsid w:val="194C01BE"/>
    <w:rsid w:val="1C6074FD"/>
    <w:rsid w:val="1CC552AA"/>
    <w:rsid w:val="35C76988"/>
    <w:rsid w:val="3C97266F"/>
    <w:rsid w:val="3DB17760"/>
    <w:rsid w:val="3DBE39DB"/>
    <w:rsid w:val="44EF7C72"/>
    <w:rsid w:val="4B3D0885"/>
    <w:rsid w:val="4D9E376F"/>
    <w:rsid w:val="51646B6C"/>
    <w:rsid w:val="51AB0359"/>
    <w:rsid w:val="52AD5C9A"/>
    <w:rsid w:val="565B6C4E"/>
    <w:rsid w:val="56C105BC"/>
    <w:rsid w:val="5BB406F0"/>
    <w:rsid w:val="5E1436C8"/>
    <w:rsid w:val="60395AF9"/>
    <w:rsid w:val="6D3F4CC2"/>
    <w:rsid w:val="6D6830E8"/>
    <w:rsid w:val="74AA048A"/>
    <w:rsid w:val="7D9B3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宋体" w:hAnsi="宋体" w:eastAsia="宋体" w:cs="宋体"/>
      <w:sz w:val="31"/>
      <w:szCs w:val="31"/>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1661</Words>
  <Characters>1683</Characters>
  <Lines>0</Lines>
  <Paragraphs>0</Paragraphs>
  <TotalTime>7</TotalTime>
  <ScaleCrop>false</ScaleCrop>
  <LinksUpToDate>false</LinksUpToDate>
  <CharactersWithSpaces>1799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2026-02-08T03:31:00Z</dcterms:created>
  <dc:creator>关键看沛沛</dc:creator>
  <cp:lastModifiedBy>滕州低保办公室</cp:lastModifiedBy>
  <cp:lastPrinted>2026-02-08T04:56:00Z</cp:lastPrinted>
  <dcterms:modified xsi:type="dcterms:W3CDTF">2026-07-22T06:34:15Z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822C3C49A75F41AB86FE73EEFCE400C6_13</vt:lpwstr>
  </property>
  <property fmtid="{D5CDD505-2E9C-101B-9397-08002B2CF9AE}" pid="4" name="KSOTemplateDocerSaveRecord">
    <vt:lpwstr>eyJoZGlkIjoiMDAzODc0ZTQwYWNhNTZlY2U3NjJkYjFhMWNlYzAzNmUiLCJ1c2VySWQiOiI0NDc4MDc5MzIifQ==</vt:lpwstr>
  </property>
</Properties>
</file>