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8FFC86">
      <w:pPr>
        <w:keepNext w:val="0"/>
        <w:keepLines w:val="0"/>
        <w:pageBreakBefore w:val="0"/>
        <w:widowControl/>
        <w:suppressLineNumbers w:val="0"/>
        <w:kinsoku/>
        <w:wordWrap/>
        <w:overflowPunct/>
        <w:topLinePunct w:val="0"/>
        <w:autoSpaceDE/>
        <w:autoSpaceDN/>
        <w:bidi w:val="0"/>
        <w:spacing w:beforeAutospacing="0" w:afterAutospacing="0" w:line="560" w:lineRule="exact"/>
        <w:jc w:val="center"/>
        <w:textAlignment w:val="auto"/>
        <w:rPr>
          <w:rFonts w:ascii="方正小标宋简体" w:hAnsi="方正小标宋简体" w:eastAsia="方正小标宋简体" w:cs="方正小标宋简体"/>
          <w:b w:val="0"/>
          <w:i w:val="0"/>
          <w:caps w:val="0"/>
          <w:color w:val="auto"/>
          <w:spacing w:val="0"/>
          <w:kern w:val="0"/>
          <w:sz w:val="44"/>
          <w:szCs w:val="44"/>
          <w:shd w:val="clear" w:color="auto" w:fill="FFFFFF"/>
          <w:lang w:val="en-US" w:eastAsia="zh-CN"/>
        </w:rPr>
      </w:pPr>
      <w:r>
        <w:rPr>
          <w:rFonts w:hint="eastAsia" w:ascii="方正小标宋简体" w:hAnsi="方正小标宋简体" w:eastAsia="方正小标宋简体" w:cs="方正小标宋简体"/>
          <w:b w:val="0"/>
          <w:i w:val="0"/>
          <w:caps w:val="0"/>
          <w:color w:val="auto"/>
          <w:spacing w:val="0"/>
          <w:kern w:val="0"/>
          <w:sz w:val="44"/>
          <w:szCs w:val="44"/>
          <w:shd w:val="clear" w:color="auto" w:fill="FFFFFF"/>
          <w:lang w:val="en-US" w:eastAsia="zh-CN"/>
        </w:rPr>
        <w:t>2026</w:t>
      </w:r>
      <w:r>
        <w:rPr>
          <w:rFonts w:hint="default" w:ascii="方正小标宋简体" w:hAnsi="方正小标宋简体" w:eastAsia="方正小标宋简体" w:cs="方正小标宋简体"/>
          <w:b w:val="0"/>
          <w:i w:val="0"/>
          <w:caps w:val="0"/>
          <w:color w:val="auto"/>
          <w:spacing w:val="0"/>
          <w:kern w:val="0"/>
          <w:sz w:val="44"/>
          <w:szCs w:val="44"/>
          <w:shd w:val="clear" w:color="auto" w:fill="FFFFFF"/>
          <w:lang w:val="en-US" w:eastAsia="zh-CN"/>
        </w:rPr>
        <w:t>年度</w:t>
      </w:r>
      <w:r>
        <w:rPr>
          <w:rFonts w:ascii="方正小标宋简体" w:hAnsi="方正小标宋简体" w:eastAsia="方正小标宋简体" w:cs="方正小标宋简体"/>
          <w:b w:val="0"/>
          <w:i w:val="0"/>
          <w:caps w:val="0"/>
          <w:color w:val="auto"/>
          <w:spacing w:val="0"/>
          <w:kern w:val="0"/>
          <w:sz w:val="44"/>
          <w:szCs w:val="44"/>
          <w:shd w:val="clear" w:color="auto" w:fill="FFFFFF"/>
          <w:lang w:val="en-US" w:eastAsia="zh-CN"/>
        </w:rPr>
        <w:t>滕州市科技计划项目申报指南</w:t>
      </w:r>
    </w:p>
    <w:p w14:paraId="684AE43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firstLine="320" w:firstLineChars="200"/>
        <w:jc w:val="center"/>
        <w:textAlignment w:val="auto"/>
        <w:rPr>
          <w:rFonts w:hint="eastAsia" w:ascii="宋体" w:hAnsi="宋体" w:eastAsia="宋体" w:cs="宋体"/>
          <w:b w:val="0"/>
          <w:i w:val="0"/>
          <w:caps w:val="0"/>
          <w:color w:val="auto"/>
          <w:spacing w:val="0"/>
          <w:sz w:val="16"/>
          <w:szCs w:val="16"/>
        </w:rPr>
      </w:pPr>
    </w:p>
    <w:p w14:paraId="557363F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right="0" w:firstLine="360" w:firstLineChars="100"/>
        <w:jc w:val="center"/>
        <w:textAlignment w:val="auto"/>
        <w:rPr>
          <w:rFonts w:hint="eastAsia" w:ascii="宋体" w:hAnsi="宋体" w:eastAsia="宋体" w:cs="宋体"/>
          <w:b w:val="0"/>
          <w:i w:val="0"/>
          <w:caps w:val="0"/>
          <w:color w:val="auto"/>
          <w:spacing w:val="0"/>
          <w:sz w:val="16"/>
          <w:szCs w:val="16"/>
        </w:rPr>
      </w:pPr>
      <w:r>
        <w:rPr>
          <w:rFonts w:ascii="黑体" w:hAnsi="宋体" w:eastAsia="黑体" w:cs="黑体"/>
          <w:b w:val="0"/>
          <w:i w:val="0"/>
          <w:caps w:val="0"/>
          <w:color w:val="auto"/>
          <w:spacing w:val="0"/>
          <w:kern w:val="0"/>
          <w:sz w:val="36"/>
          <w:szCs w:val="36"/>
          <w:shd w:val="clear" w:color="auto" w:fill="FFFFFF"/>
          <w:lang w:val="en-US" w:eastAsia="zh-CN"/>
        </w:rPr>
        <w:t>计划分类</w:t>
      </w:r>
    </w:p>
    <w:p w14:paraId="0B789E5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firstLine="720" w:firstLineChars="200"/>
        <w:jc w:val="both"/>
        <w:textAlignment w:val="auto"/>
        <w:rPr>
          <w:rFonts w:hint="eastAsia" w:ascii="宋体" w:hAnsi="宋体" w:eastAsia="宋体" w:cs="宋体"/>
          <w:b w:val="0"/>
          <w:i w:val="0"/>
          <w:caps w:val="0"/>
          <w:color w:val="auto"/>
          <w:spacing w:val="0"/>
          <w:kern w:val="0"/>
          <w:sz w:val="36"/>
          <w:szCs w:val="36"/>
          <w:shd w:val="clear" w:color="auto" w:fill="FFFFFF"/>
          <w:lang w:val="en-US" w:eastAsia="zh-CN"/>
        </w:rPr>
      </w:pPr>
    </w:p>
    <w:p w14:paraId="26D9CF9F">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right="0" w:rightChars="0" w:firstLine="640" w:firstLineChars="200"/>
        <w:jc w:val="left"/>
        <w:textAlignment w:val="auto"/>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ascii="仿宋_GB2312" w:hAnsi="宋体" w:eastAsia="仿宋_GB2312" w:cs="仿宋_GB2312"/>
          <w:b w:val="0"/>
          <w:i w:val="0"/>
          <w:caps w:val="0"/>
          <w:color w:val="auto"/>
          <w:spacing w:val="0"/>
          <w:kern w:val="0"/>
          <w:sz w:val="32"/>
          <w:szCs w:val="32"/>
          <w:shd w:val="clear" w:color="auto" w:fill="FFFFFF"/>
          <w:lang w:val="en-US" w:eastAsia="zh-CN"/>
        </w:rPr>
        <w:t>滕</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州市</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自主创新及</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成果转化</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（重大科技创新工程）计划</w:t>
      </w:r>
    </w:p>
    <w:p w14:paraId="26620EC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firstLine="643" w:firstLineChars="200"/>
        <w:jc w:val="left"/>
        <w:textAlignment w:val="auto"/>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bCs/>
          <w:i w:val="0"/>
          <w:caps w:val="0"/>
          <w:color w:val="auto"/>
          <w:spacing w:val="0"/>
          <w:kern w:val="0"/>
          <w:sz w:val="32"/>
          <w:szCs w:val="32"/>
          <w:shd w:val="clear" w:color="auto" w:fill="FFFFFF"/>
          <w:lang w:val="en-US" w:eastAsia="zh-CN"/>
        </w:rPr>
        <w:t>二、</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滕州市科</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技型企业培育</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计划</w:t>
      </w:r>
    </w:p>
    <w:p w14:paraId="13E5EE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firstLine="640" w:firstLineChars="200"/>
        <w:jc w:val="left"/>
        <w:textAlignment w:val="auto"/>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三、滕州市产学研合作计划</w:t>
      </w:r>
    </w:p>
    <w:p w14:paraId="41AE562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firstLine="640" w:firstLineChars="200"/>
        <w:jc w:val="left"/>
        <w:textAlignment w:val="auto"/>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四、滕州市农业与社会发展计划</w:t>
      </w:r>
    </w:p>
    <w:p w14:paraId="6B623D4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pacing w:before="0" w:beforeAutospacing="0" w:afterAutospacing="0" w:line="560" w:lineRule="exact"/>
        <w:ind w:left="0" w:leftChars="0" w:right="0" w:firstLine="640" w:firstLineChars="200"/>
        <w:jc w:val="left"/>
        <w:textAlignment w:val="auto"/>
        <w:rPr>
          <w:rFonts w:hint="eastAsia" w:ascii="宋体" w:hAnsi="宋体" w:eastAsia="宋体" w:cs="宋体"/>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五、滕州市软科学研究计划</w:t>
      </w:r>
    </w:p>
    <w:p w14:paraId="290EAA0C">
      <w:pPr>
        <w:ind w:left="0" w:leftChars="0" w:firstLine="0" w:firstLineChars="0"/>
        <w:rPr>
          <w:rFonts w:hint="default" w:ascii="Times New Roman" w:hAnsi="Times New Roman" w:cs="Times New Roman"/>
          <w:color w:val="auto"/>
          <w:lang w:val="en-US" w:eastAsia="zh-CN"/>
        </w:rPr>
        <w:sectPr>
          <w:headerReference r:id="rId3" w:type="default"/>
          <w:footerReference r:id="rId4" w:type="default"/>
          <w:pgSz w:w="11906" w:h="16838"/>
          <w:pgMar w:top="1587" w:right="1587" w:bottom="1587" w:left="1587" w:header="851" w:footer="992" w:gutter="0"/>
          <w:pgNumType w:fmt="decimal"/>
          <w:cols w:space="425" w:num="1"/>
          <w:docGrid w:type="lines" w:linePitch="312" w:charSpace="0"/>
        </w:sectPr>
      </w:pPr>
    </w:p>
    <w:p w14:paraId="54D1F1F5">
      <w:pPr>
        <w:ind w:left="0" w:leftChars="0" w:firstLine="0" w:firstLineChars="0"/>
        <w:rPr>
          <w:rFonts w:hint="default" w:ascii="Times New Roman" w:hAnsi="Times New Roman" w:cs="Times New Roman"/>
          <w:color w:val="auto"/>
          <w:lang w:val="en-US" w:eastAsia="zh-CN"/>
        </w:rPr>
      </w:pPr>
    </w:p>
    <w:p w14:paraId="7CE7D6BC">
      <w:pPr>
        <w:ind w:left="0" w:leftChars="0" w:firstLine="0" w:firstLineChars="0"/>
        <w:rPr>
          <w:rFonts w:hint="default" w:ascii="Times New Roman" w:hAnsi="Times New Roman" w:cs="Times New Roman"/>
          <w:color w:val="auto"/>
          <w:lang w:val="en-US" w:eastAsia="zh-CN"/>
        </w:rPr>
      </w:pPr>
    </w:p>
    <w:p w14:paraId="2ECFBE9E">
      <w:pPr>
        <w:keepNext w:val="0"/>
        <w:keepLines w:val="0"/>
        <w:pageBreakBefore w:val="0"/>
        <w:widowControl/>
        <w:kinsoku/>
        <w:wordWrap/>
        <w:overflowPunct/>
        <w:topLinePunct w:val="0"/>
        <w:autoSpaceDE/>
        <w:autoSpaceDN/>
        <w:bidi w:val="0"/>
        <w:adjustRightInd w:val="0"/>
        <w:snapToGrid/>
        <w:spacing w:beforeAutospacing="0" w:afterAutospacing="0" w:line="560" w:lineRule="exact"/>
        <w:jc w:val="center"/>
        <w:textAlignment w:val="auto"/>
        <w:rPr>
          <w:rFonts w:hint="eastAsia" w:ascii="黑体" w:hAnsi="宋体" w:eastAsia="黑体" w:cs="宋体"/>
          <w:bCs/>
          <w:color w:val="auto"/>
          <w:kern w:val="0"/>
          <w:sz w:val="44"/>
          <w:szCs w:val="44"/>
          <w:lang w:val="en-US" w:eastAsia="zh-CN"/>
        </w:rPr>
      </w:pPr>
      <w:r>
        <w:rPr>
          <w:rFonts w:hint="eastAsia" w:ascii="黑体" w:hAnsi="宋体" w:eastAsia="黑体" w:cs="宋体"/>
          <w:bCs/>
          <w:color w:val="auto"/>
          <w:kern w:val="0"/>
          <w:sz w:val="44"/>
          <w:szCs w:val="44"/>
          <w:lang w:val="en-US" w:eastAsia="zh-CN"/>
        </w:rPr>
        <w:t>滕</w:t>
      </w:r>
      <w:r>
        <w:rPr>
          <w:rFonts w:hint="default" w:ascii="黑体" w:hAnsi="宋体" w:eastAsia="黑体" w:cs="宋体"/>
          <w:bCs/>
          <w:color w:val="auto"/>
          <w:kern w:val="0"/>
          <w:sz w:val="44"/>
          <w:szCs w:val="44"/>
          <w:lang w:val="en-US" w:eastAsia="zh-CN"/>
        </w:rPr>
        <w:t>州市</w:t>
      </w:r>
      <w:r>
        <w:rPr>
          <w:rFonts w:hint="eastAsia" w:ascii="黑体" w:hAnsi="宋体" w:eastAsia="黑体" w:cs="宋体"/>
          <w:bCs/>
          <w:color w:val="auto"/>
          <w:kern w:val="0"/>
          <w:sz w:val="44"/>
          <w:szCs w:val="44"/>
          <w:lang w:val="en-US" w:eastAsia="zh-CN"/>
        </w:rPr>
        <w:t>自主创新及</w:t>
      </w:r>
      <w:r>
        <w:rPr>
          <w:rFonts w:hint="default" w:ascii="黑体" w:hAnsi="宋体" w:eastAsia="黑体" w:cs="宋体"/>
          <w:bCs/>
          <w:color w:val="auto"/>
          <w:kern w:val="0"/>
          <w:sz w:val="44"/>
          <w:szCs w:val="44"/>
          <w:lang w:val="en-US" w:eastAsia="zh-CN"/>
        </w:rPr>
        <w:t>成果转化</w:t>
      </w:r>
      <w:r>
        <w:rPr>
          <w:rFonts w:hint="eastAsia" w:ascii="黑体" w:hAnsi="宋体" w:eastAsia="黑体" w:cs="宋体"/>
          <w:bCs/>
          <w:color w:val="auto"/>
          <w:kern w:val="0"/>
          <w:sz w:val="44"/>
          <w:szCs w:val="44"/>
          <w:lang w:val="en-US" w:eastAsia="zh-CN"/>
        </w:rPr>
        <w:t>（重大科技创新工程）计划申报指南</w:t>
      </w:r>
    </w:p>
    <w:p w14:paraId="64A4FB50">
      <w:pPr>
        <w:keepNext w:val="0"/>
        <w:keepLines w:val="0"/>
        <w:pageBreakBefore w:val="0"/>
        <w:widowControl/>
        <w:kinsoku/>
        <w:wordWrap/>
        <w:overflowPunct/>
        <w:topLinePunct w:val="0"/>
        <w:autoSpaceDE/>
        <w:autoSpaceDN/>
        <w:bidi w:val="0"/>
        <w:adjustRightInd w:val="0"/>
        <w:snapToGrid/>
        <w:spacing w:beforeAutospacing="0" w:afterAutospacing="0" w:line="560" w:lineRule="exact"/>
        <w:jc w:val="center"/>
        <w:textAlignment w:val="auto"/>
        <w:rPr>
          <w:rFonts w:hint="eastAsia" w:ascii="黑体" w:hAnsi="宋体" w:eastAsia="黑体" w:cs="宋体"/>
          <w:bCs/>
          <w:color w:val="auto"/>
          <w:kern w:val="0"/>
          <w:sz w:val="44"/>
          <w:szCs w:val="44"/>
          <w:lang w:val="en-US" w:eastAsia="zh-CN"/>
        </w:rPr>
      </w:pPr>
    </w:p>
    <w:p w14:paraId="70529E68">
      <w:pPr>
        <w:keepNext w:val="0"/>
        <w:keepLines w:val="0"/>
        <w:pageBreakBefore w:val="0"/>
        <w:widowControl/>
        <w:kinsoku/>
        <w:wordWrap/>
        <w:overflowPunct/>
        <w:topLinePunct w:val="0"/>
        <w:autoSpaceDE/>
        <w:autoSpaceDN/>
        <w:bidi w:val="0"/>
        <w:adjustRightInd w:val="0"/>
        <w:snapToGrid/>
        <w:spacing w:beforeAutospacing="0" w:afterAutospacing="0" w:line="520" w:lineRule="exact"/>
        <w:ind w:firstLine="640" w:firstLineChars="200"/>
        <w:jc w:val="left"/>
        <w:textAlignment w:val="auto"/>
        <w:rPr>
          <w:rFonts w:hint="eastAsia" w:ascii="黑体" w:hAnsi="宋体" w:eastAsia="黑体" w:cs="黑体"/>
          <w:b w:val="0"/>
          <w:i w:val="0"/>
          <w:caps w:val="0"/>
          <w:color w:val="auto"/>
          <w:spacing w:val="0"/>
          <w:kern w:val="0"/>
          <w:sz w:val="32"/>
          <w:szCs w:val="32"/>
          <w:shd w:val="clear" w:color="auto" w:fill="FFFFFF"/>
          <w:lang w:val="en-US" w:eastAsia="zh-CN"/>
        </w:rPr>
      </w:pPr>
      <w:r>
        <w:rPr>
          <w:rFonts w:hint="eastAsia" w:ascii="黑体" w:hAnsi="宋体" w:eastAsia="黑体" w:cs="黑体"/>
          <w:b w:val="0"/>
          <w:i w:val="0"/>
          <w:caps w:val="0"/>
          <w:color w:val="auto"/>
          <w:spacing w:val="0"/>
          <w:kern w:val="0"/>
          <w:sz w:val="32"/>
          <w:szCs w:val="32"/>
          <w:shd w:val="clear" w:color="auto" w:fill="FFFFFF"/>
          <w:lang w:val="en-US" w:eastAsia="zh-CN"/>
        </w:rPr>
        <w:t>一、计划概述</w:t>
      </w:r>
    </w:p>
    <w:p w14:paraId="7666439E">
      <w:pPr>
        <w:adjustRightInd w:val="0"/>
        <w:snapToGrid w:val="0"/>
        <w:spacing w:line="580" w:lineRule="exact"/>
        <w:ind w:firstLine="640" w:firstLineChars="200"/>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滕</w:t>
      </w:r>
      <w:r>
        <w:rPr>
          <w:rFonts w:hint="default" w:ascii="Times New Roman" w:hAnsi="Times New Roman" w:eastAsia="仿宋_GB2312" w:cs="Times New Roman"/>
          <w:color w:val="auto"/>
          <w:sz w:val="32"/>
          <w:szCs w:val="32"/>
          <w:highlight w:val="none"/>
          <w:lang w:val="en-US" w:eastAsia="zh-CN"/>
        </w:rPr>
        <w:t>州市</w:t>
      </w:r>
      <w:r>
        <w:rPr>
          <w:rFonts w:hint="eastAsia" w:ascii="Times New Roman" w:hAnsi="Times New Roman" w:eastAsia="仿宋_GB2312" w:cs="Times New Roman"/>
          <w:color w:val="auto"/>
          <w:sz w:val="32"/>
          <w:szCs w:val="32"/>
          <w:highlight w:val="none"/>
          <w:lang w:val="en-US" w:eastAsia="zh-CN"/>
        </w:rPr>
        <w:t>自主创新及</w:t>
      </w:r>
      <w:r>
        <w:rPr>
          <w:rFonts w:hint="default" w:ascii="Times New Roman" w:hAnsi="Times New Roman" w:eastAsia="仿宋_GB2312" w:cs="Times New Roman"/>
          <w:color w:val="auto"/>
          <w:sz w:val="32"/>
          <w:szCs w:val="32"/>
          <w:highlight w:val="none"/>
          <w:lang w:val="en-US" w:eastAsia="zh-CN"/>
        </w:rPr>
        <w:t>成果转化</w:t>
      </w:r>
      <w:r>
        <w:rPr>
          <w:rFonts w:hint="eastAsia" w:ascii="Times New Roman" w:hAnsi="Times New Roman" w:eastAsia="仿宋_GB2312" w:cs="Times New Roman"/>
          <w:color w:val="auto"/>
          <w:sz w:val="32"/>
          <w:szCs w:val="32"/>
          <w:highlight w:val="none"/>
          <w:lang w:val="en-US" w:eastAsia="zh-CN"/>
        </w:rPr>
        <w:t>（重大科技创新工程）计划，是为进一步深化科技体制改革，培育新质生产力，聚焦全市重点产业，以</w:t>
      </w:r>
      <w:r>
        <w:rPr>
          <w:rFonts w:hint="default" w:ascii="Times New Roman" w:hAnsi="Times New Roman" w:eastAsia="仿宋_GB2312" w:cs="Times New Roman"/>
          <w:color w:val="auto"/>
          <w:sz w:val="32"/>
          <w:szCs w:val="32"/>
          <w:highlight w:val="none"/>
          <w:lang w:val="en-US" w:eastAsia="zh-CN"/>
        </w:rPr>
        <w:t>产业关键技术突破、重大创新产品研发和重大创新成果转化示范为</w:t>
      </w:r>
      <w:r>
        <w:rPr>
          <w:rFonts w:hint="eastAsia" w:ascii="Times New Roman" w:hAnsi="Times New Roman" w:eastAsia="仿宋_GB2312" w:cs="Times New Roman"/>
          <w:color w:val="auto"/>
          <w:sz w:val="32"/>
          <w:szCs w:val="32"/>
          <w:highlight w:val="none"/>
          <w:lang w:val="en-US" w:eastAsia="zh-CN"/>
        </w:rPr>
        <w:t>主攻方向</w:t>
      </w:r>
      <w:r>
        <w:rPr>
          <w:rFonts w:hint="default" w:ascii="Times New Roman" w:hAnsi="Times New Roman" w:eastAsia="仿宋_GB2312" w:cs="Times New Roman"/>
          <w:color w:val="auto"/>
          <w:sz w:val="32"/>
          <w:szCs w:val="32"/>
          <w:highlight w:val="none"/>
          <w:lang w:val="en-US" w:eastAsia="zh-CN"/>
        </w:rPr>
        <w:t>，支持实施若干在行业领域具有重大影响力的引领性、系统集成性和产业链协同创新项目，</w:t>
      </w:r>
      <w:r>
        <w:rPr>
          <w:rFonts w:hint="eastAsia" w:ascii="Times New Roman" w:hAnsi="Times New Roman" w:eastAsia="仿宋_GB2312" w:cs="Times New Roman"/>
          <w:color w:val="auto"/>
          <w:sz w:val="32"/>
          <w:szCs w:val="32"/>
          <w:highlight w:val="none"/>
          <w:lang w:val="en-US" w:eastAsia="zh-CN"/>
        </w:rPr>
        <w:t>采取揭榜方式予以扶持，旨在调动全社会力量攻克我市产业发展急需解决的技术难题，加快推动科技成果转化。</w:t>
      </w:r>
    </w:p>
    <w:p w14:paraId="3ED3039D">
      <w:pPr>
        <w:adjustRightInd w:val="0"/>
        <w:snapToGrid w:val="0"/>
        <w:spacing w:line="580" w:lineRule="exact"/>
        <w:ind w:firstLine="640" w:firstLineChars="200"/>
        <w:rPr>
          <w:rFonts w:hint="default" w:ascii="Times New Roman" w:hAnsi="Times New Roman" w:cs="Times New Roman"/>
          <w:color w:val="auto"/>
          <w:lang w:val="en-US" w:eastAsia="zh-CN"/>
        </w:rPr>
      </w:pPr>
      <w:r>
        <w:rPr>
          <w:rFonts w:hint="eastAsia" w:ascii="黑体" w:hAnsi="宋体" w:eastAsia="黑体" w:cs="黑体"/>
          <w:b w:val="0"/>
          <w:i w:val="0"/>
          <w:caps w:val="0"/>
          <w:color w:val="auto"/>
          <w:spacing w:val="0"/>
          <w:kern w:val="0"/>
          <w:sz w:val="32"/>
          <w:szCs w:val="32"/>
          <w:shd w:val="clear" w:color="auto" w:fill="FFFFFF"/>
          <w:lang w:val="en-US" w:eastAsia="zh-CN"/>
        </w:rPr>
        <w:t>二、支持范围</w:t>
      </w:r>
    </w:p>
    <w:p w14:paraId="269AE09A">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项目</w:t>
      </w:r>
      <w:r>
        <w:rPr>
          <w:rFonts w:hint="eastAsia" w:cs="Times New Roman"/>
          <w:color w:val="auto"/>
          <w:sz w:val="32"/>
          <w:szCs w:val="32"/>
          <w:highlight w:val="none"/>
          <w:lang w:val="en-US" w:eastAsia="zh-CN"/>
        </w:rPr>
        <w:t>1</w:t>
      </w:r>
      <w:r>
        <w:rPr>
          <w:rFonts w:hint="eastAsia" w:ascii="Times New Roman" w:hAnsi="Times New Roman" w:cs="Times New Roman"/>
          <w:color w:val="auto"/>
          <w:sz w:val="32"/>
          <w:szCs w:val="32"/>
          <w:highlight w:val="none"/>
          <w:lang w:val="en-US" w:eastAsia="zh-CN"/>
        </w:rPr>
        <w:t>：高速列车地板超结构减振器设计及应用</w:t>
      </w:r>
    </w:p>
    <w:p w14:paraId="245C1487">
      <w:pPr>
        <w:adjustRightInd w:val="0"/>
        <w:snapToGrid w:val="0"/>
        <w:spacing w:line="580" w:lineRule="exact"/>
        <w:ind w:firstLine="643" w:firstLineChars="200"/>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研究内容：</w:t>
      </w:r>
      <w:r>
        <w:rPr>
          <w:rFonts w:hint="eastAsia" w:ascii="Times New Roman" w:hAnsi="Times New Roman" w:eastAsia="仿宋_GB2312" w:cs="Times New Roman"/>
          <w:color w:val="auto"/>
          <w:sz w:val="32"/>
          <w:szCs w:val="32"/>
          <w:highlight w:val="none"/>
          <w:lang w:val="en-US" w:eastAsia="zh-CN"/>
        </w:rPr>
        <w:t>针对高速列车地板减振器宽频域、宽温域、长寿命减振降噪需求，通过聚氨酯分子结构设计、微泡调控、声学超材料结构集成等手段，解决现有减振技术的瓶颈问题，开发出基于聚氨酯基材料的高性能列车地板减振器，提升列车乘坐舒适性，延长部件寿命。</w:t>
      </w:r>
    </w:p>
    <w:p w14:paraId="32BFED5E">
      <w:pPr>
        <w:keepNext w:val="0"/>
        <w:keepLines w:val="0"/>
        <w:pageBreakBefore w:val="0"/>
        <w:widowControl w:val="0"/>
        <w:numPr>
          <w:ilvl w:val="-1"/>
          <w:numId w:val="0"/>
        </w:numPr>
        <w:shd w:val="clear" w:color="auto" w:fill="auto"/>
        <w:kinsoku/>
        <w:wordWrap/>
        <w:overflowPunct w:val="0"/>
        <w:topLinePunct w:val="0"/>
        <w:autoSpaceDE/>
        <w:autoSpaceDN/>
        <w:bidi w:val="0"/>
        <w:adjustRightInd w:val="0"/>
        <w:spacing w:line="540" w:lineRule="exact"/>
        <w:ind w:firstLine="643" w:firstLineChars="200"/>
        <w:contextualSpacing/>
        <w:textAlignment w:val="auto"/>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考核指标：</w:t>
      </w:r>
    </w:p>
    <w:p w14:paraId="630E440B">
      <w:pPr>
        <w:keepNext w:val="0"/>
        <w:keepLines w:val="0"/>
        <w:pageBreakBefore w:val="0"/>
        <w:widowControl w:val="0"/>
        <w:numPr>
          <w:ilvl w:val="0"/>
          <w:numId w:val="0"/>
        </w:numPr>
        <w:shd w:val="clear" w:color="auto" w:fill="auto"/>
        <w:kinsoku/>
        <w:wordWrap/>
        <w:overflowPunct w:val="0"/>
        <w:topLinePunct w:val="0"/>
        <w:autoSpaceDE/>
        <w:autoSpaceDN/>
        <w:bidi w:val="0"/>
        <w:adjustRightInd w:val="0"/>
        <w:spacing w:line="540" w:lineRule="exact"/>
        <w:ind w:firstLine="640" w:firstLineChars="200"/>
        <w:contextualSpacing/>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bidi="ar-SA"/>
        </w:rPr>
        <w:t>（一）</w:t>
      </w:r>
      <w:r>
        <w:rPr>
          <w:rFonts w:hint="eastAsia" w:ascii="Times New Roman" w:hAnsi="Times New Roman" w:eastAsia="仿宋_GB2312" w:cs="Times New Roman"/>
          <w:b/>
          <w:bCs/>
          <w:color w:val="auto"/>
          <w:sz w:val="32"/>
          <w:szCs w:val="32"/>
          <w:highlight w:val="none"/>
          <w:lang w:eastAsia="zh-CN"/>
        </w:rPr>
        <w:t>验收</w:t>
      </w:r>
      <w:r>
        <w:rPr>
          <w:rFonts w:hint="eastAsia" w:ascii="Times New Roman" w:hAnsi="Times New Roman" w:eastAsia="仿宋_GB2312" w:cs="Times New Roman"/>
          <w:b/>
          <w:bCs/>
          <w:color w:val="auto"/>
          <w:sz w:val="32"/>
          <w:szCs w:val="32"/>
          <w:highlight w:val="none"/>
          <w:lang w:val="en-US" w:eastAsia="zh-CN"/>
        </w:rPr>
        <w:t>考核</w:t>
      </w:r>
      <w:r>
        <w:rPr>
          <w:rFonts w:hint="eastAsia" w:ascii="Times New Roman" w:hAnsi="Times New Roman" w:eastAsia="仿宋_GB2312" w:cs="Times New Roman"/>
          <w:b/>
          <w:bCs/>
          <w:color w:val="auto"/>
          <w:sz w:val="32"/>
          <w:szCs w:val="32"/>
          <w:highlight w:val="none"/>
          <w:lang w:eastAsia="zh-CN"/>
        </w:rPr>
        <w:t>指标：</w:t>
      </w:r>
      <w:r>
        <w:rPr>
          <w:rFonts w:hint="default" w:ascii="Times New Roman" w:hAnsi="Times New Roman" w:eastAsia="仿宋_GB2312" w:cs="Times New Roman"/>
          <w:color w:val="auto"/>
          <w:sz w:val="32"/>
          <w:szCs w:val="32"/>
          <w:highlight w:val="none"/>
          <w:lang w:val="en-US" w:eastAsia="zh-CN"/>
        </w:rPr>
        <w:t>产品</w:t>
      </w:r>
      <w:r>
        <w:rPr>
          <w:rFonts w:hint="eastAsia" w:ascii="Times New Roman" w:hAnsi="Times New Roman" w:eastAsia="仿宋_GB2312" w:cs="Times New Roman"/>
          <w:color w:val="auto"/>
          <w:sz w:val="32"/>
          <w:szCs w:val="32"/>
          <w:highlight w:val="none"/>
          <w:lang w:val="en-US" w:eastAsia="zh-CN"/>
        </w:rPr>
        <w:t>较</w:t>
      </w:r>
      <w:r>
        <w:rPr>
          <w:rFonts w:hint="default" w:ascii="Times New Roman" w:hAnsi="Times New Roman" w:eastAsia="仿宋_GB2312" w:cs="Times New Roman"/>
          <w:color w:val="auto"/>
          <w:sz w:val="32"/>
          <w:szCs w:val="32"/>
          <w:highlight w:val="none"/>
          <w:lang w:val="en-US" w:eastAsia="zh-CN"/>
        </w:rPr>
        <w:t>国内外产品降重</w:t>
      </w:r>
      <w:r>
        <w:rPr>
          <w:rFonts w:hint="eastAsia" w:ascii="Times New Roman" w:hAnsi="Times New Roman" w:eastAsia="仿宋_GB2312" w:cs="Times New Roman"/>
          <w:color w:val="auto"/>
          <w:sz w:val="32"/>
          <w:szCs w:val="32"/>
          <w:highlight w:val="none"/>
          <w:lang w:val="en-US" w:eastAsia="zh-CN"/>
        </w:rPr>
        <w:t>10</w:t>
      </w:r>
      <w:r>
        <w:rPr>
          <w:rFonts w:hint="default" w:ascii="Times New Roman" w:hAnsi="Times New Roman" w:eastAsia="仿宋_GB2312" w:cs="Times New Roman"/>
          <w:color w:val="auto"/>
          <w:sz w:val="32"/>
          <w:szCs w:val="32"/>
          <w:highlight w:val="none"/>
          <w:lang w:val="en-US" w:eastAsia="zh-CN"/>
        </w:rPr>
        <w:t>%以上</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动静刚度比</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1.3，压缩永久变形</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10%，压缩蠕变性能</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0.04mm/mm</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刚度变化率（500万次疲劳试验）</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5%；有效减振频率50Hz</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400Hz，固有频率</w:t>
      </w:r>
      <w:r>
        <w:rPr>
          <w:rFonts w:hint="eastAsia" w:ascii="Times New Roman" w:hAnsi="Times New Roman" w:eastAsia="仿宋_GB2312" w:cs="Times New Roman"/>
          <w:color w:val="auto"/>
          <w:sz w:val="32"/>
          <w:szCs w:val="32"/>
          <w:highlight w:val="none"/>
          <w:lang w:val="en-US" w:eastAsia="zh-CN"/>
        </w:rPr>
        <w:t>≤30</w:t>
      </w:r>
      <w:r>
        <w:rPr>
          <w:rFonts w:hint="default" w:ascii="Times New Roman" w:hAnsi="Times New Roman" w:eastAsia="仿宋_GB2312" w:cs="Times New Roman"/>
          <w:color w:val="auto"/>
          <w:sz w:val="32"/>
          <w:szCs w:val="32"/>
          <w:highlight w:val="none"/>
          <w:lang w:val="en-US" w:eastAsia="zh-CN"/>
        </w:rPr>
        <w:t>Hz；极限</w:t>
      </w:r>
      <w:r>
        <w:rPr>
          <w:rFonts w:hint="eastAsia" w:ascii="Times New Roman" w:hAnsi="Times New Roman" w:eastAsia="仿宋_GB2312" w:cs="Times New Roman"/>
          <w:color w:val="auto"/>
          <w:sz w:val="32"/>
          <w:szCs w:val="32"/>
          <w:highlight w:val="none"/>
          <w:lang w:val="en-US" w:eastAsia="zh-CN"/>
        </w:rPr>
        <w:t>氧指数≥30%。</w:t>
      </w:r>
      <w:r>
        <w:rPr>
          <w:rFonts w:hint="default" w:ascii="Times New Roman" w:hAnsi="Times New Roman" w:eastAsia="仿宋_GB2312" w:cs="Times New Roman"/>
          <w:color w:val="auto"/>
          <w:sz w:val="32"/>
          <w:szCs w:val="32"/>
          <w:highlight w:val="none"/>
          <w:lang w:val="en-US" w:eastAsia="zh-CN"/>
        </w:rPr>
        <w:t>申请</w:t>
      </w:r>
      <w:r>
        <w:rPr>
          <w:rFonts w:hint="eastAsia" w:ascii="Times New Roman" w:hAnsi="Times New Roman" w:eastAsia="仿宋_GB2312" w:cs="Times New Roman"/>
          <w:color w:val="auto"/>
          <w:sz w:val="32"/>
          <w:szCs w:val="32"/>
          <w:highlight w:val="none"/>
          <w:lang w:val="en-US" w:eastAsia="zh-CN"/>
        </w:rPr>
        <w:t>或授权</w:t>
      </w:r>
      <w:r>
        <w:rPr>
          <w:rFonts w:hint="default" w:ascii="Times New Roman" w:hAnsi="Times New Roman" w:eastAsia="仿宋_GB2312" w:cs="Times New Roman"/>
          <w:color w:val="auto"/>
          <w:sz w:val="32"/>
          <w:szCs w:val="32"/>
          <w:highlight w:val="none"/>
          <w:lang w:val="en-US" w:eastAsia="zh-CN"/>
        </w:rPr>
        <w:t>发明专利</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2项，发表论文</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1篇，编制企业技术标准1项。</w:t>
      </w:r>
    </w:p>
    <w:p w14:paraId="0D085C8F">
      <w:pPr>
        <w:adjustRightInd w:val="0"/>
        <w:snapToGrid w:val="0"/>
        <w:spacing w:line="580" w:lineRule="exact"/>
        <w:ind w:firstLine="643" w:firstLineChars="200"/>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eastAsia="zh-CN"/>
        </w:rPr>
        <w:t>（二）</w:t>
      </w:r>
      <w:r>
        <w:rPr>
          <w:rFonts w:hint="eastAsia" w:ascii="Times New Roman" w:hAnsi="Times New Roman" w:eastAsia="仿宋_GB2312" w:cs="Times New Roman"/>
          <w:b/>
          <w:bCs/>
          <w:color w:val="auto"/>
          <w:sz w:val="32"/>
          <w:szCs w:val="32"/>
          <w:highlight w:val="none"/>
          <w:lang w:val="en-US" w:eastAsia="zh-CN"/>
        </w:rPr>
        <w:t>绩效</w:t>
      </w:r>
      <w:r>
        <w:rPr>
          <w:rFonts w:hint="eastAsia" w:ascii="Times New Roman" w:hAnsi="Times New Roman" w:eastAsia="仿宋_GB2312" w:cs="Times New Roman"/>
          <w:b/>
          <w:bCs/>
          <w:color w:val="auto"/>
          <w:sz w:val="32"/>
          <w:szCs w:val="32"/>
          <w:highlight w:val="none"/>
          <w:lang w:eastAsia="zh-CN"/>
        </w:rPr>
        <w:t>评价指标：</w:t>
      </w:r>
      <w:r>
        <w:rPr>
          <w:rFonts w:hint="eastAsia" w:ascii="Times New Roman" w:hAnsi="Times New Roman" w:eastAsia="仿宋_GB2312" w:cs="Times New Roman"/>
          <w:b w:val="0"/>
          <w:bCs w:val="0"/>
          <w:color w:val="auto"/>
          <w:sz w:val="32"/>
          <w:szCs w:val="32"/>
          <w:highlight w:val="none"/>
          <w:lang w:val="en-US" w:eastAsia="zh-CN"/>
        </w:rPr>
        <w:t>研制出列车地板减振器，完成装车验证，实现批量生产，</w:t>
      </w:r>
      <w:r>
        <w:rPr>
          <w:rFonts w:hint="default" w:ascii="Times New Roman" w:hAnsi="Times New Roman" w:eastAsia="仿宋_GB2312" w:cs="Times New Roman"/>
          <w:color w:val="auto"/>
          <w:sz w:val="32"/>
          <w:szCs w:val="32"/>
          <w:highlight w:val="none"/>
          <w:lang w:val="en-US" w:eastAsia="zh-CN"/>
        </w:rPr>
        <w:t>形成年</w:t>
      </w:r>
      <w:r>
        <w:rPr>
          <w:rFonts w:hint="eastAsia" w:ascii="Times New Roman" w:hAnsi="Times New Roman" w:eastAsia="仿宋_GB2312" w:cs="Times New Roman"/>
          <w:color w:val="auto"/>
          <w:sz w:val="32"/>
          <w:szCs w:val="32"/>
          <w:highlight w:val="none"/>
          <w:lang w:val="en-US" w:eastAsia="zh-CN"/>
        </w:rPr>
        <w:t>产能</w:t>
      </w:r>
      <w:r>
        <w:rPr>
          <w:rFonts w:hint="default" w:ascii="Times New Roman" w:hAnsi="Times New Roman" w:eastAsia="仿宋_GB2312" w:cs="Times New Roman"/>
          <w:color w:val="auto"/>
          <w:sz w:val="32"/>
          <w:szCs w:val="32"/>
          <w:highlight w:val="none"/>
          <w:lang w:val="en-US" w:eastAsia="zh-CN"/>
        </w:rPr>
        <w:t>不低于</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0万件减振器的生产能力；减振器在典型车型完成应用验证；项目完成后，实现新增产值</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2000万元/年。</w:t>
      </w:r>
    </w:p>
    <w:p w14:paraId="5603E151">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default" w:ascii="Times New Roman" w:hAnsi="Times New Roman" w:cs="Times New Roman"/>
          <w:color w:val="auto"/>
          <w:sz w:val="32"/>
          <w:szCs w:val="32"/>
          <w:highlight w:val="none"/>
          <w:lang w:val="en-US" w:eastAsia="zh-CN"/>
        </w:rPr>
      </w:pPr>
      <w:r>
        <w:rPr>
          <w:rFonts w:hint="default" w:ascii="Times New Roman" w:hAnsi="Times New Roman" w:cs="Times New Roman"/>
          <w:color w:val="auto"/>
          <w:sz w:val="32"/>
          <w:szCs w:val="32"/>
          <w:highlight w:val="none"/>
          <w:lang w:eastAsia="zh-CN"/>
        </w:rPr>
        <w:t>项目</w:t>
      </w:r>
      <w:r>
        <w:rPr>
          <w:rFonts w:hint="eastAsia" w:cs="Times New Roman"/>
          <w:color w:val="auto"/>
          <w:sz w:val="32"/>
          <w:szCs w:val="32"/>
          <w:highlight w:val="none"/>
          <w:lang w:val="en-US" w:eastAsia="zh-CN"/>
        </w:rPr>
        <w:t>2</w:t>
      </w:r>
      <w:r>
        <w:rPr>
          <w:rFonts w:hint="default" w:ascii="Times New Roman" w:hAnsi="Times New Roman" w:cs="Times New Roman"/>
          <w:color w:val="auto"/>
          <w:sz w:val="32"/>
          <w:szCs w:val="32"/>
          <w:highlight w:val="none"/>
          <w:lang w:eastAsia="zh-CN"/>
        </w:rPr>
        <w:t>：</w:t>
      </w:r>
      <w:r>
        <w:rPr>
          <w:rFonts w:hint="default" w:ascii="Times New Roman" w:hAnsi="Times New Roman" w:cs="Times New Roman"/>
          <w:color w:val="auto"/>
          <w:sz w:val="32"/>
          <w:szCs w:val="32"/>
          <w:highlight w:val="none"/>
          <w:lang w:val="en-US" w:eastAsia="zh-CN"/>
        </w:rPr>
        <w:t>农用地膜及果蔬保鲜膜用生物降解PPC材料</w:t>
      </w:r>
      <w:r>
        <w:rPr>
          <w:rFonts w:hint="eastAsia" w:cs="Times New Roman"/>
          <w:color w:val="auto"/>
          <w:sz w:val="32"/>
          <w:szCs w:val="32"/>
          <w:highlight w:val="none"/>
          <w:lang w:val="en-US" w:eastAsia="zh-CN"/>
        </w:rPr>
        <w:t>研发</w:t>
      </w:r>
    </w:p>
    <w:p w14:paraId="552DD1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rPr>
        <w:t>研究内容：</w:t>
      </w:r>
      <w:r>
        <w:rPr>
          <w:rFonts w:hint="default" w:ascii="Times New Roman" w:hAnsi="Times New Roman" w:eastAsia="仿宋_GB2312" w:cs="Times New Roman"/>
          <w:color w:val="auto"/>
          <w:sz w:val="32"/>
          <w:szCs w:val="32"/>
          <w:highlight w:val="none"/>
          <w:lang w:val="en-US" w:eastAsia="zh-CN"/>
        </w:rPr>
        <w:t>针对国内生物降解薄膜气体阻隔性、耐候性不足，无法满足地膜农艺要求的问题，开发二氧化碳基生物降解PPC塑料。突破PPC高分子链结构精准合成、超薄地膜高水汽阻隔与耐候周期调节、保鲜膜O₂/CO₂选择性透过调节三大核心技术。制备山东蔬果超薄地膜、新疆棉花专用地膜</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荔枝、杨梅等水果</w:t>
      </w:r>
      <w:r>
        <w:rPr>
          <w:rFonts w:hint="eastAsia" w:ascii="Times New Roman" w:hAnsi="Times New Roman" w:eastAsia="仿宋_GB2312" w:cs="Times New Roman"/>
          <w:color w:val="auto"/>
          <w:sz w:val="32"/>
          <w:szCs w:val="32"/>
          <w:highlight w:val="none"/>
          <w:lang w:val="en-US" w:eastAsia="zh-CN"/>
        </w:rPr>
        <w:t>保鲜膜</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val="en-US" w:eastAsia="zh-CN"/>
        </w:rPr>
        <w:t>开展</w:t>
      </w:r>
      <w:r>
        <w:rPr>
          <w:rFonts w:hint="default" w:ascii="Times New Roman" w:hAnsi="Times New Roman" w:eastAsia="仿宋_GB2312" w:cs="Times New Roman"/>
          <w:color w:val="auto"/>
          <w:sz w:val="32"/>
          <w:szCs w:val="32"/>
          <w:highlight w:val="none"/>
          <w:lang w:val="en-US" w:eastAsia="zh-CN"/>
        </w:rPr>
        <w:t>PPC专用料产业化示范装置</w:t>
      </w:r>
      <w:r>
        <w:rPr>
          <w:rFonts w:hint="eastAsia" w:ascii="Times New Roman" w:hAnsi="Times New Roman" w:eastAsia="仿宋_GB2312" w:cs="Times New Roman"/>
          <w:color w:val="auto"/>
          <w:sz w:val="32"/>
          <w:szCs w:val="32"/>
          <w:highlight w:val="none"/>
          <w:lang w:val="en-US" w:eastAsia="zh-CN"/>
        </w:rPr>
        <w:t>建设，并设计相应配套工艺包。</w:t>
      </w:r>
    </w:p>
    <w:p w14:paraId="1C125DF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考核指标：</w:t>
      </w:r>
    </w:p>
    <w:p w14:paraId="523F13B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lang w:eastAsia="zh-CN"/>
        </w:rPr>
        <w:t>（一）</w:t>
      </w:r>
      <w:r>
        <w:rPr>
          <w:rFonts w:hint="default" w:ascii="Times New Roman" w:hAnsi="Times New Roman" w:eastAsia="仿宋_GB2312" w:cs="Times New Roman"/>
          <w:b/>
          <w:bCs/>
          <w:color w:val="auto"/>
          <w:sz w:val="32"/>
          <w:szCs w:val="32"/>
        </w:rPr>
        <w:t>验收考核指标：</w:t>
      </w:r>
      <w:r>
        <w:rPr>
          <w:rFonts w:hint="default" w:ascii="Times New Roman" w:hAnsi="Times New Roman" w:eastAsia="仿宋_GB2312" w:cs="Times New Roman"/>
          <w:color w:val="auto"/>
          <w:sz w:val="32"/>
          <w:szCs w:val="32"/>
          <w:highlight w:val="none"/>
          <w:lang w:val="en-US" w:eastAsia="zh-CN"/>
        </w:rPr>
        <w:t>PPC产物：重均分子量Mw≥500kDa，碳酸酯含量（CU）</w:t>
      </w:r>
      <w:r>
        <w:rPr>
          <w:rFonts w:hint="eastAsia" w:ascii="Times New Roman" w:hAnsi="Times New Roman" w:eastAsia="仿宋_GB2312" w:cs="Times New Roman"/>
          <w:color w:val="auto"/>
          <w:sz w:val="32"/>
          <w:szCs w:val="32"/>
          <w:highlight w:val="none"/>
          <w:lang w:val="en-US" w:eastAsia="zh-CN"/>
        </w:rPr>
        <w:t>85%～95%</w:t>
      </w:r>
      <w:r>
        <w:rPr>
          <w:rFonts w:hint="default" w:ascii="Times New Roman" w:hAnsi="Times New Roman" w:eastAsia="仿宋_GB2312" w:cs="Times New Roman"/>
          <w:color w:val="auto"/>
          <w:sz w:val="32"/>
          <w:szCs w:val="32"/>
          <w:highlight w:val="none"/>
          <w:lang w:val="en-US" w:eastAsia="zh-CN"/>
        </w:rPr>
        <w:t>可调；PPC地膜专用料：水蒸气透过量≤30g/m2.day.atm(@0.03mm</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，田间使用周期≥110天；PPC保鲜专用料：CO₂透过量≤700g/m2.day.atm，室温下荔枝保鲜周期≥10天。</w:t>
      </w:r>
    </w:p>
    <w:p w14:paraId="089418C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color w:val="auto"/>
          <w:lang w:val="en-US" w:eastAsia="zh-CN"/>
        </w:rPr>
      </w:pPr>
      <w:r>
        <w:rPr>
          <w:rFonts w:hint="eastAsia" w:ascii="Times New Roman" w:hAnsi="Times New Roman" w:eastAsia="仿宋_GB2312" w:cs="Times New Roman"/>
          <w:b/>
          <w:bCs/>
          <w:color w:val="auto"/>
          <w:sz w:val="32"/>
          <w:szCs w:val="32"/>
          <w:lang w:eastAsia="zh-CN"/>
        </w:rPr>
        <w:t>（二）</w:t>
      </w:r>
      <w:r>
        <w:rPr>
          <w:rFonts w:hint="default" w:ascii="Times New Roman" w:hAnsi="Times New Roman" w:eastAsia="仿宋_GB2312" w:cs="Times New Roman"/>
          <w:b/>
          <w:bCs/>
          <w:color w:val="auto"/>
          <w:sz w:val="32"/>
          <w:szCs w:val="32"/>
        </w:rPr>
        <w:t>绩效评价指标</w:t>
      </w:r>
      <w:r>
        <w:rPr>
          <w:rFonts w:hint="eastAsia" w:ascii="Times New Roman" w:hAnsi="Times New Roman" w:eastAsia="仿宋_GB2312" w:cs="Times New Roman"/>
          <w:b/>
          <w:bCs/>
          <w:color w:val="auto"/>
          <w:sz w:val="32"/>
          <w:szCs w:val="32"/>
          <w:lang w:eastAsia="zh-CN"/>
        </w:rPr>
        <w:t>：</w:t>
      </w:r>
      <w:r>
        <w:rPr>
          <w:rFonts w:hint="eastAsia" w:ascii="Times New Roman" w:hAnsi="Times New Roman" w:eastAsia="仿宋_GB2312" w:cs="Times New Roman"/>
          <w:color w:val="auto"/>
          <w:sz w:val="32"/>
          <w:szCs w:val="32"/>
          <w:highlight w:val="none"/>
          <w:lang w:val="en-US" w:eastAsia="zh-CN"/>
        </w:rPr>
        <w:t>研制马铃薯等</w:t>
      </w:r>
      <w:r>
        <w:rPr>
          <w:rFonts w:hint="default" w:ascii="Times New Roman" w:hAnsi="Times New Roman" w:eastAsia="仿宋_GB2312" w:cs="Times New Roman"/>
          <w:color w:val="auto"/>
          <w:sz w:val="32"/>
          <w:szCs w:val="32"/>
          <w:highlight w:val="none"/>
          <w:lang w:val="en-US" w:eastAsia="zh-CN"/>
        </w:rPr>
        <w:t>地膜专用料2-3种、保鲜膜专用料1-2种；地膜在山东果蔬、新疆棉花实现示范应用；建成2.5万吨/年PPC专用料产业化示范装置1套及配套工艺包；提交≥3家地膜、保鲜膜客户使用评价材料；</w:t>
      </w:r>
      <w:r>
        <w:rPr>
          <w:rFonts w:hint="eastAsia" w:ascii="Times New Roman" w:hAnsi="Times New Roman" w:eastAsia="仿宋_GB2312" w:cs="Times New Roman"/>
          <w:color w:val="auto"/>
          <w:sz w:val="32"/>
          <w:szCs w:val="32"/>
          <w:highlight w:val="none"/>
          <w:lang w:val="en-US" w:eastAsia="zh-CN"/>
        </w:rPr>
        <w:t>申请或授权</w:t>
      </w:r>
      <w:r>
        <w:rPr>
          <w:rFonts w:hint="default" w:ascii="Times New Roman" w:hAnsi="Times New Roman" w:eastAsia="仿宋_GB2312" w:cs="Times New Roman"/>
          <w:color w:val="auto"/>
          <w:sz w:val="32"/>
          <w:szCs w:val="32"/>
          <w:highlight w:val="none"/>
          <w:lang w:val="en-US" w:eastAsia="zh-CN"/>
        </w:rPr>
        <w:t>发明专利≥</w:t>
      </w:r>
      <w:r>
        <w:rPr>
          <w:rFonts w:hint="eastAsia" w:ascii="Times New Roman" w:hAnsi="Times New Roman" w:eastAsia="仿宋_GB2312" w:cs="Times New Roman"/>
          <w:color w:val="auto"/>
          <w:sz w:val="32"/>
          <w:szCs w:val="32"/>
          <w:highlight w:val="none"/>
          <w:lang w:val="en-US" w:eastAsia="zh-CN"/>
        </w:rPr>
        <w:t>1</w:t>
      </w:r>
      <w:r>
        <w:rPr>
          <w:rFonts w:hint="default" w:ascii="Times New Roman" w:hAnsi="Times New Roman" w:eastAsia="仿宋_GB2312" w:cs="Times New Roman"/>
          <w:color w:val="auto"/>
          <w:sz w:val="32"/>
          <w:szCs w:val="32"/>
          <w:highlight w:val="none"/>
          <w:lang w:val="en-US" w:eastAsia="zh-CN"/>
        </w:rPr>
        <w:t>件。</w:t>
      </w:r>
    </w:p>
    <w:p w14:paraId="4C9A5F28">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项目</w:t>
      </w:r>
      <w:r>
        <w:rPr>
          <w:rFonts w:hint="eastAsia" w:cs="Times New Roman"/>
          <w:color w:val="auto"/>
          <w:sz w:val="32"/>
          <w:szCs w:val="32"/>
          <w:highlight w:val="none"/>
          <w:lang w:val="en-US" w:eastAsia="zh-CN"/>
        </w:rPr>
        <w:t>3</w:t>
      </w:r>
      <w:r>
        <w:rPr>
          <w:rFonts w:hint="eastAsia" w:ascii="Times New Roman" w:hAnsi="Times New Roman" w:cs="Times New Roman"/>
          <w:color w:val="auto"/>
          <w:sz w:val="32"/>
          <w:szCs w:val="32"/>
          <w:highlight w:val="none"/>
          <w:lang w:val="en-US" w:eastAsia="zh-CN"/>
        </w:rPr>
        <w:t>：激光-超声多能场复合精密高效加工机床研制及应用示范</w:t>
      </w:r>
    </w:p>
    <w:p w14:paraId="38C8F2A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lang w:val="en-US" w:eastAsia="zh-CN"/>
        </w:rPr>
        <w:t>研究内容：</w:t>
      </w:r>
      <w:r>
        <w:rPr>
          <w:rFonts w:hint="eastAsia" w:ascii="Times New Roman" w:hAnsi="Times New Roman" w:eastAsia="仿宋_GB2312" w:cs="Times New Roman"/>
          <w:color w:val="auto"/>
          <w:sz w:val="32"/>
          <w:szCs w:val="32"/>
          <w:highlight w:val="none"/>
          <w:lang w:val="en-US" w:eastAsia="zh-CN"/>
        </w:rPr>
        <w:t>针对高端碳化硅等陶瓷部件加工时易产生表面/亚表面损伤（微裂纹、崩边）、效率低、几何精度差、刀具磨损严重等问题，开展激光-超声多能场复合精密高效加工机床研制及应用示范，具体包括：突破超声主轴一体化集成设计技术、光-机-刀协同调控的激光装置集成设计技术、多能场辅助加工工艺参数自适应优化技术、数据－物理模型融合驱动多能场切削在线监测与控制技术等关键技术，开发光束整形装置、多能场复合加工数控系统专用工艺界面及程序，集成激光-超声多能场复合加工典型工艺知识，形成激光超声多能场加工工艺规范，在半导体器件、航空航天耐高温部件、精密仪器等陶瓷材料加工领域实现应用示范。</w:t>
      </w:r>
    </w:p>
    <w:p w14:paraId="78A8530F">
      <w:pPr>
        <w:keepNext w:val="0"/>
        <w:keepLines w:val="0"/>
        <w:pageBreakBefore w:val="0"/>
        <w:widowControl w:val="0"/>
        <w:numPr>
          <w:ilvl w:val="0"/>
          <w:numId w:val="0"/>
        </w:numPr>
        <w:shd w:val="clear" w:color="auto" w:fill="auto"/>
        <w:kinsoku/>
        <w:wordWrap/>
        <w:overflowPunct w:val="0"/>
        <w:topLinePunct w:val="0"/>
        <w:autoSpaceDE/>
        <w:autoSpaceDN/>
        <w:bidi w:val="0"/>
        <w:adjustRightInd w:val="0"/>
        <w:snapToGrid/>
        <w:spacing w:line="540" w:lineRule="exact"/>
        <w:ind w:firstLine="643" w:firstLineChars="200"/>
        <w:contextualSpacing/>
        <w:textAlignment w:val="auto"/>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考核指标：</w:t>
      </w:r>
    </w:p>
    <w:p w14:paraId="6DADDD0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lang w:eastAsia="zh-CN"/>
        </w:rPr>
        <w:t>（一）验收</w:t>
      </w:r>
      <w:r>
        <w:rPr>
          <w:rFonts w:hint="eastAsia" w:ascii="Times New Roman" w:hAnsi="Times New Roman" w:eastAsia="仿宋_GB2312" w:cs="Times New Roman"/>
          <w:b/>
          <w:bCs/>
          <w:color w:val="auto"/>
          <w:sz w:val="32"/>
          <w:szCs w:val="32"/>
          <w:lang w:val="en-US" w:eastAsia="zh-CN"/>
        </w:rPr>
        <w:t>考核</w:t>
      </w:r>
      <w:r>
        <w:rPr>
          <w:rFonts w:hint="eastAsia" w:ascii="Times New Roman" w:hAnsi="Times New Roman" w:eastAsia="仿宋_GB2312" w:cs="Times New Roman"/>
          <w:b/>
          <w:bCs/>
          <w:color w:val="auto"/>
          <w:sz w:val="32"/>
          <w:szCs w:val="32"/>
          <w:lang w:eastAsia="zh-CN"/>
        </w:rPr>
        <w:t>指标：</w:t>
      </w:r>
      <w:r>
        <w:rPr>
          <w:rFonts w:hint="default" w:ascii="Times New Roman" w:hAnsi="Times New Roman" w:eastAsia="仿宋_GB2312" w:cs="Times New Roman"/>
          <w:color w:val="auto"/>
          <w:sz w:val="32"/>
          <w:szCs w:val="32"/>
          <w:highlight w:val="none"/>
          <w:lang w:val="en-US" w:eastAsia="zh-CN"/>
        </w:rPr>
        <w:t>研制激光－超声多能场复合加工机床1台套：整机定位精度≤1.5µm，重复定位精度≤0.8µm；行程≥800mm×800mm×800mm，转速≥32000rpm，超声频率25kHZ±3kHz自适应，振幅0-15µm；研制1套激光装置，能量匀化率≥90%；碳化硅等陶瓷加工：表面粗糙度Ra≤0.1µm，材料去除率≥100mm³/min，申请或授权发明专利≥2项。</w:t>
      </w:r>
    </w:p>
    <w:p w14:paraId="4D57DEAC">
      <w:pPr>
        <w:keepNext w:val="0"/>
        <w:keepLines w:val="0"/>
        <w:pageBreakBefore w:val="0"/>
        <w:widowControl w:val="0"/>
        <w:numPr>
          <w:ilvl w:val="0"/>
          <w:numId w:val="0"/>
        </w:numPr>
        <w:kinsoku/>
        <w:wordWrap/>
        <w:overflowPunct/>
        <w:topLinePunct w:val="0"/>
        <w:autoSpaceDE/>
        <w:autoSpaceDN/>
        <w:bidi w:val="0"/>
        <w:snapToGrid/>
        <w:spacing w:line="520" w:lineRule="exact"/>
        <w:ind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lang w:eastAsia="zh-CN"/>
        </w:rPr>
        <w:t>（二）</w:t>
      </w:r>
      <w:r>
        <w:rPr>
          <w:rFonts w:hint="eastAsia" w:ascii="Times New Roman" w:hAnsi="Times New Roman" w:eastAsia="仿宋_GB2312" w:cs="Times New Roman"/>
          <w:b/>
          <w:bCs/>
          <w:color w:val="auto"/>
          <w:sz w:val="32"/>
          <w:szCs w:val="32"/>
          <w:lang w:val="en-US" w:eastAsia="zh-CN"/>
        </w:rPr>
        <w:t>绩效</w:t>
      </w:r>
      <w:r>
        <w:rPr>
          <w:rFonts w:hint="eastAsia" w:ascii="Times New Roman" w:hAnsi="Times New Roman" w:eastAsia="仿宋_GB2312" w:cs="Times New Roman"/>
          <w:b/>
          <w:bCs/>
          <w:color w:val="auto"/>
          <w:sz w:val="32"/>
          <w:szCs w:val="32"/>
          <w:lang w:eastAsia="zh-CN"/>
        </w:rPr>
        <w:t>评价指标：</w:t>
      </w:r>
      <w:r>
        <w:rPr>
          <w:rFonts w:hint="default" w:ascii="Times New Roman" w:hAnsi="Times New Roman" w:eastAsia="仿宋_GB2312" w:cs="Times New Roman"/>
          <w:color w:val="auto"/>
          <w:sz w:val="32"/>
          <w:szCs w:val="32"/>
          <w:highlight w:val="none"/>
          <w:lang w:val="en-US" w:eastAsia="zh-CN"/>
        </w:rPr>
        <w:t>实施期内</w:t>
      </w:r>
      <w:r>
        <w:rPr>
          <w:rFonts w:hint="eastAsia" w:ascii="Times New Roman" w:hAnsi="Times New Roman" w:eastAsia="仿宋_GB2312" w:cs="Times New Roman"/>
          <w:color w:val="auto"/>
          <w:sz w:val="32"/>
          <w:szCs w:val="32"/>
          <w:highlight w:val="none"/>
          <w:lang w:val="en-US" w:eastAsia="zh-CN"/>
        </w:rPr>
        <w:t>实现</w:t>
      </w:r>
      <w:r>
        <w:rPr>
          <w:rFonts w:hint="default" w:ascii="Times New Roman" w:hAnsi="Times New Roman" w:eastAsia="仿宋_GB2312" w:cs="Times New Roman"/>
          <w:color w:val="auto"/>
          <w:sz w:val="32"/>
          <w:szCs w:val="32"/>
          <w:highlight w:val="none"/>
          <w:lang w:val="en-US" w:eastAsia="zh-CN"/>
        </w:rPr>
        <w:t>陶瓷构件加工场景的应用示范，新增</w:t>
      </w:r>
      <w:r>
        <w:rPr>
          <w:rFonts w:hint="eastAsia" w:ascii="Times New Roman" w:hAnsi="Times New Roman" w:eastAsia="仿宋_GB2312" w:cs="Times New Roman"/>
          <w:color w:val="auto"/>
          <w:sz w:val="32"/>
          <w:szCs w:val="32"/>
          <w:highlight w:val="none"/>
          <w:lang w:val="en-US" w:eastAsia="zh-CN"/>
        </w:rPr>
        <w:t>直接经济效益</w:t>
      </w:r>
      <w:r>
        <w:rPr>
          <w:rFonts w:hint="default" w:ascii="Times New Roman" w:hAnsi="Times New Roman" w:eastAsia="仿宋_GB2312" w:cs="Times New Roman"/>
          <w:color w:val="auto"/>
          <w:sz w:val="32"/>
          <w:szCs w:val="32"/>
          <w:highlight w:val="none"/>
          <w:lang w:val="en-US" w:eastAsia="zh-CN"/>
        </w:rPr>
        <w:t>产值≥</w:t>
      </w:r>
      <w:r>
        <w:rPr>
          <w:rFonts w:hint="eastAsia" w:ascii="Times New Roman" w:hAnsi="Times New Roman" w:eastAsia="仿宋_GB2312" w:cs="Times New Roman"/>
          <w:color w:val="auto"/>
          <w:sz w:val="32"/>
          <w:szCs w:val="32"/>
          <w:highlight w:val="none"/>
          <w:lang w:val="en-US" w:eastAsia="zh-CN"/>
        </w:rPr>
        <w:t>1000万元</w:t>
      </w:r>
      <w:r>
        <w:rPr>
          <w:rFonts w:hint="default" w:ascii="Times New Roman" w:hAnsi="Times New Roman" w:eastAsia="仿宋_GB2312" w:cs="Times New Roman"/>
          <w:color w:val="auto"/>
          <w:sz w:val="32"/>
          <w:szCs w:val="32"/>
          <w:highlight w:val="none"/>
          <w:lang w:val="en-US" w:eastAsia="zh-CN"/>
        </w:rPr>
        <w:t>。</w:t>
      </w:r>
    </w:p>
    <w:p w14:paraId="43D1EF82">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项目</w:t>
      </w:r>
      <w:r>
        <w:rPr>
          <w:rFonts w:hint="eastAsia" w:cs="Times New Roman"/>
          <w:color w:val="auto"/>
          <w:sz w:val="32"/>
          <w:szCs w:val="32"/>
          <w:highlight w:val="none"/>
          <w:lang w:val="en-US" w:eastAsia="zh-CN"/>
        </w:rPr>
        <w:t>4</w:t>
      </w:r>
      <w:r>
        <w:rPr>
          <w:rFonts w:hint="eastAsia" w:ascii="Times New Roman" w:hAnsi="Times New Roman" w:cs="Times New Roman"/>
          <w:color w:val="auto"/>
          <w:sz w:val="32"/>
          <w:szCs w:val="32"/>
          <w:highlight w:val="none"/>
          <w:lang w:val="en-US" w:eastAsia="zh-CN"/>
        </w:rPr>
        <w:t>：半导体机床技术研发</w:t>
      </w:r>
    </w:p>
    <w:p w14:paraId="5BB03A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研究内容：</w:t>
      </w:r>
      <w:r>
        <w:rPr>
          <w:rFonts w:hint="eastAsia" w:ascii="Times New Roman" w:hAnsi="Times New Roman" w:eastAsia="仿宋_GB2312" w:cs="Times New Roman"/>
          <w:color w:val="auto"/>
          <w:sz w:val="32"/>
          <w:szCs w:val="32"/>
          <w:highlight w:val="none"/>
          <w:lang w:val="en-US" w:eastAsia="zh-CN"/>
        </w:rPr>
        <w:t>针对半导体晶圆精密磨削机床刚度阻尼匹配不足、高速主轴回转精度保持性差、加工控制精度有限等制约加工质量与效率的核心问题，开展高精度晶圆磨床关键技术研究。研究高性能无机复合材料床身成型工艺，揭示多孔结构对机床刚度与阻尼减振特性的影响机制，实现机床亚微米级振动稳定性；开展超高速油静压磨头主轴的构型创新与精细化结构设计，保障回转精度的长期保持性；构建超高速油静压磨头主轴流固耦合动力学模型，揭示轴承间隙、供油压力与主轴转速对油膜刚度及回转精度的映射规律，实现磨头主轴超高速运转下精密回转性能；融合多源传感器与智能控制算法，开发加工状态实时监测与自适应微流控系统，实现磨削过程的智能监控与工艺参数在线优化。研制出高精度晶圆磨床样机，形成批量生产能力，并在半导体晶圆精密磨削加工领域开展应用验证。</w:t>
      </w:r>
    </w:p>
    <w:p w14:paraId="5CE6565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考核指标：</w:t>
      </w:r>
    </w:p>
    <w:p w14:paraId="0C83B88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（一）验收考核指标：</w:t>
      </w:r>
      <w:r>
        <w:rPr>
          <w:rFonts w:hint="eastAsia" w:ascii="Times New Roman" w:hAnsi="Times New Roman" w:eastAsia="仿宋_GB2312" w:cs="Times New Roman"/>
          <w:color w:val="auto"/>
          <w:sz w:val="32"/>
          <w:szCs w:val="32"/>
          <w:highlight w:val="none"/>
          <w:lang w:val="en-US" w:eastAsia="zh-CN"/>
        </w:rPr>
        <w:t>研发一款高精度晶圆磨床，开发高性能抗震机体、高精度高转速油静压磨头主轴，达到机体振动＜0.02μm，油静压磨头主轴转速≥40000转，端面跳动＜0.002mm。</w:t>
      </w:r>
    </w:p>
    <w:p w14:paraId="36A76BA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（二）绩效评价指标：</w:t>
      </w:r>
      <w:r>
        <w:rPr>
          <w:rFonts w:hint="eastAsia" w:ascii="Times New Roman" w:hAnsi="Times New Roman" w:eastAsia="仿宋_GB2312" w:cs="Times New Roman"/>
          <w:color w:val="auto"/>
          <w:sz w:val="32"/>
          <w:szCs w:val="32"/>
          <w:highlight w:val="none"/>
          <w:lang w:val="en-US" w:eastAsia="zh-CN"/>
        </w:rPr>
        <w:t>申请或取得授权相关知识产权不少于1个。</w:t>
      </w:r>
    </w:p>
    <w:p w14:paraId="788FECD8">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default"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项目</w:t>
      </w:r>
      <w:r>
        <w:rPr>
          <w:rFonts w:hint="eastAsia" w:cs="Times New Roman"/>
          <w:color w:val="auto"/>
          <w:sz w:val="32"/>
          <w:szCs w:val="32"/>
          <w:highlight w:val="none"/>
          <w:lang w:val="en-US" w:eastAsia="zh-CN"/>
        </w:rPr>
        <w:t>5</w:t>
      </w:r>
      <w:r>
        <w:rPr>
          <w:rFonts w:hint="eastAsia"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val="en-US" w:eastAsia="zh-CN"/>
        </w:rPr>
        <w:t>退役锂电池拆解与资源化回收关键技术研发</w:t>
      </w:r>
    </w:p>
    <w:p w14:paraId="7C8C3A4E">
      <w:pPr>
        <w:keepNext w:val="0"/>
        <w:keepLines w:val="0"/>
        <w:pageBreakBefore w:val="0"/>
        <w:widowControl w:val="0"/>
        <w:numPr>
          <w:ilvl w:val="-1"/>
          <w:numId w:val="0"/>
        </w:numPr>
        <w:shd w:val="clear" w:color="auto" w:fill="auto"/>
        <w:kinsoku/>
        <w:wordWrap/>
        <w:overflowPunct w:val="0"/>
        <w:topLinePunct w:val="0"/>
        <w:autoSpaceDE/>
        <w:autoSpaceDN/>
        <w:bidi w:val="0"/>
        <w:adjustRightInd w:val="0"/>
        <w:spacing w:line="540" w:lineRule="exact"/>
        <w:ind w:firstLine="643" w:firstLineChars="200"/>
        <w:contextualSpacing/>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bCs/>
          <w:color w:val="auto"/>
          <w:sz w:val="32"/>
          <w:szCs w:val="32"/>
          <w:highlight w:val="none"/>
        </w:rPr>
        <w:t>研究内容：</w:t>
      </w:r>
      <w:r>
        <w:rPr>
          <w:rFonts w:hint="default" w:ascii="Times New Roman" w:hAnsi="Times New Roman" w:eastAsia="仿宋_GB2312" w:cs="Times New Roman"/>
          <w:color w:val="auto"/>
          <w:sz w:val="32"/>
          <w:szCs w:val="32"/>
          <w:highlight w:val="none"/>
        </w:rPr>
        <w:t>针对退役锂电池人工拆解效率低、安全风险高及传统湿法回收污染重、资源利用率低的瓶颈，面向规模化、绿色化、高值化回收利用核心需求，</w:t>
      </w:r>
      <w:r>
        <w:rPr>
          <w:rFonts w:hint="eastAsia" w:ascii="Times New Roman" w:hAnsi="Times New Roman" w:eastAsia="仿宋_GB2312" w:cs="Times New Roman"/>
          <w:color w:val="auto"/>
          <w:sz w:val="32"/>
          <w:szCs w:val="32"/>
          <w:highlight w:val="none"/>
          <w:lang w:eastAsia="zh-CN"/>
        </w:rPr>
        <w:t>研究</w:t>
      </w:r>
      <w:r>
        <w:rPr>
          <w:rFonts w:hint="default" w:ascii="Times New Roman" w:hAnsi="Times New Roman" w:eastAsia="仿宋_GB2312" w:cs="Times New Roman"/>
          <w:color w:val="auto"/>
          <w:sz w:val="32"/>
          <w:szCs w:val="32"/>
          <w:highlight w:val="none"/>
        </w:rPr>
        <w:t>退役锂电池自动化安全拆解与电芯智能识别分类</w:t>
      </w:r>
      <w:r>
        <w:rPr>
          <w:rFonts w:hint="eastAsia" w:ascii="Times New Roman" w:hAnsi="Times New Roman" w:eastAsia="仿宋_GB2312" w:cs="Times New Roman"/>
          <w:color w:val="auto"/>
          <w:sz w:val="32"/>
          <w:szCs w:val="32"/>
          <w:highlight w:val="none"/>
          <w:lang w:eastAsia="zh-CN"/>
        </w:rPr>
        <w:t>技术</w:t>
      </w:r>
      <w:r>
        <w:rPr>
          <w:rFonts w:hint="default" w:ascii="Times New Roman" w:hAnsi="Times New Roman" w:eastAsia="仿宋_GB2312" w:cs="Times New Roman"/>
          <w:color w:val="auto"/>
          <w:sz w:val="32"/>
          <w:szCs w:val="32"/>
          <w:highlight w:val="none"/>
        </w:rPr>
        <w:t>：开发多维度智能识别系统与激光精准切割</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自动化拆解集成系统，实现电池型号识别、安全风险分类及模组精准拆解，完成不同荷电状态电芯的高效分拣。</w:t>
      </w:r>
      <w:r>
        <w:rPr>
          <w:rFonts w:hint="eastAsia" w:ascii="Times New Roman" w:hAnsi="Times New Roman" w:eastAsia="仿宋_GB2312" w:cs="Times New Roman"/>
          <w:color w:val="auto"/>
          <w:sz w:val="32"/>
          <w:szCs w:val="32"/>
          <w:highlight w:val="none"/>
          <w:lang w:eastAsia="zh-CN"/>
        </w:rPr>
        <w:t>研究</w:t>
      </w:r>
      <w:r>
        <w:rPr>
          <w:rFonts w:hint="default" w:ascii="Times New Roman" w:hAnsi="Times New Roman" w:eastAsia="仿宋_GB2312" w:cs="Times New Roman"/>
          <w:color w:val="auto"/>
          <w:sz w:val="32"/>
          <w:szCs w:val="32"/>
          <w:highlight w:val="none"/>
        </w:rPr>
        <w:t>电芯多组分高效精拆分离与活性材料绿色剥离</w:t>
      </w:r>
      <w:r>
        <w:rPr>
          <w:rFonts w:hint="eastAsia" w:ascii="Times New Roman" w:hAnsi="Times New Roman" w:eastAsia="仿宋_GB2312" w:cs="Times New Roman"/>
          <w:color w:val="auto"/>
          <w:sz w:val="32"/>
          <w:szCs w:val="32"/>
          <w:highlight w:val="none"/>
          <w:lang w:eastAsia="zh-CN"/>
        </w:rPr>
        <w:t>技术</w:t>
      </w:r>
      <w:r>
        <w:rPr>
          <w:rFonts w:hint="default" w:ascii="Times New Roman" w:hAnsi="Times New Roman" w:eastAsia="仿宋_GB2312" w:cs="Times New Roman"/>
          <w:color w:val="auto"/>
          <w:sz w:val="32"/>
          <w:szCs w:val="32"/>
          <w:highlight w:val="none"/>
        </w:rPr>
        <w:t>：研究电芯内部结构特性与力学规律，开发精细化拆解及多场协同分选工艺，实现各组分高完整性回收，研发物理</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化学协同剥离技术，提升活性材料与集流体分离效率。</w:t>
      </w:r>
      <w:r>
        <w:rPr>
          <w:rFonts w:hint="eastAsia" w:ascii="Times New Roman" w:hAnsi="Times New Roman" w:eastAsia="仿宋_GB2312" w:cs="Times New Roman"/>
          <w:color w:val="auto"/>
          <w:sz w:val="32"/>
          <w:szCs w:val="32"/>
          <w:highlight w:val="none"/>
          <w:lang w:eastAsia="zh-CN"/>
        </w:rPr>
        <w:t>研究</w:t>
      </w:r>
      <w:r>
        <w:rPr>
          <w:rFonts w:hint="default" w:ascii="Times New Roman" w:hAnsi="Times New Roman" w:eastAsia="仿宋_GB2312" w:cs="Times New Roman"/>
          <w:color w:val="auto"/>
          <w:sz w:val="32"/>
          <w:szCs w:val="32"/>
          <w:highlight w:val="none"/>
        </w:rPr>
        <w:t>正极材料失效机制与修复再生</w:t>
      </w:r>
      <w:r>
        <w:rPr>
          <w:rFonts w:hint="eastAsia" w:ascii="Times New Roman" w:hAnsi="Times New Roman" w:eastAsia="仿宋_GB2312" w:cs="Times New Roman"/>
          <w:color w:val="auto"/>
          <w:sz w:val="32"/>
          <w:szCs w:val="32"/>
          <w:highlight w:val="none"/>
          <w:lang w:eastAsia="zh-CN"/>
        </w:rPr>
        <w:t>技术</w:t>
      </w:r>
      <w:r>
        <w:rPr>
          <w:rFonts w:hint="default" w:ascii="Times New Roman" w:hAnsi="Times New Roman" w:eastAsia="仿宋_GB2312" w:cs="Times New Roman"/>
          <w:color w:val="auto"/>
          <w:sz w:val="32"/>
          <w:szCs w:val="32"/>
          <w:highlight w:val="none"/>
        </w:rPr>
        <w:t>：解析正极材料失效机制，阐明容量衰减微观机理，开发中低温补锂等修复技术，建立“结构修复—功能再生”构效关系，探究修复技术对器件性能的影响。集成退役锂电池资源化全流程技术</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建设示范产线</w:t>
      </w:r>
      <w:r>
        <w:rPr>
          <w:rFonts w:hint="eastAsia" w:ascii="Times New Roman" w:hAnsi="Times New Roman" w:eastAsia="仿宋_GB2312" w:cs="Times New Roman"/>
          <w:color w:val="auto"/>
          <w:sz w:val="32"/>
          <w:szCs w:val="32"/>
          <w:highlight w:val="none"/>
          <w:lang w:eastAsia="zh-CN"/>
        </w:rPr>
        <w:t>。</w:t>
      </w:r>
    </w:p>
    <w:p w14:paraId="04B60FAA">
      <w:pPr>
        <w:keepNext w:val="0"/>
        <w:keepLines w:val="0"/>
        <w:pageBreakBefore w:val="0"/>
        <w:widowControl w:val="0"/>
        <w:numPr>
          <w:ilvl w:val="-1"/>
          <w:numId w:val="0"/>
        </w:numPr>
        <w:shd w:val="clear" w:color="auto" w:fill="auto"/>
        <w:kinsoku/>
        <w:wordWrap/>
        <w:overflowPunct w:val="0"/>
        <w:topLinePunct w:val="0"/>
        <w:autoSpaceDE/>
        <w:autoSpaceDN/>
        <w:bidi w:val="0"/>
        <w:adjustRightInd w:val="0"/>
        <w:spacing w:line="540" w:lineRule="exact"/>
        <w:ind w:firstLine="643" w:firstLineChars="200"/>
        <w:contextualSpacing/>
        <w:textAlignment w:val="auto"/>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考核指标：</w:t>
      </w:r>
    </w:p>
    <w:p w14:paraId="2FBE1546">
      <w:pPr>
        <w:keepNext w:val="0"/>
        <w:keepLines w:val="0"/>
        <w:pageBreakBefore w:val="0"/>
        <w:widowControl w:val="0"/>
        <w:numPr>
          <w:ilvl w:val="-1"/>
          <w:numId w:val="0"/>
        </w:numPr>
        <w:shd w:val="clear" w:color="auto" w:fill="auto"/>
        <w:kinsoku/>
        <w:wordWrap/>
        <w:overflowPunct w:val="0"/>
        <w:topLinePunct w:val="0"/>
        <w:autoSpaceDE/>
        <w:autoSpaceDN/>
        <w:bidi w:val="0"/>
        <w:adjustRightInd w:val="0"/>
        <w:spacing w:line="540" w:lineRule="exact"/>
        <w:ind w:firstLine="643" w:firstLineChars="200"/>
        <w:contextualSpacing/>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（一）验收</w:t>
      </w:r>
      <w:r>
        <w:rPr>
          <w:rFonts w:hint="eastAsia" w:ascii="Times New Roman" w:hAnsi="Times New Roman" w:eastAsia="仿宋_GB2312" w:cs="Times New Roman"/>
          <w:b/>
          <w:bCs/>
          <w:color w:val="auto"/>
          <w:sz w:val="32"/>
          <w:szCs w:val="32"/>
          <w:highlight w:val="none"/>
          <w:lang w:val="en-US" w:eastAsia="zh-CN"/>
        </w:rPr>
        <w:t>考核</w:t>
      </w:r>
      <w:r>
        <w:rPr>
          <w:rFonts w:hint="eastAsia" w:ascii="Times New Roman" w:hAnsi="Times New Roman" w:eastAsia="仿宋_GB2312" w:cs="Times New Roman"/>
          <w:b/>
          <w:bCs/>
          <w:color w:val="auto"/>
          <w:sz w:val="32"/>
          <w:szCs w:val="32"/>
          <w:highlight w:val="none"/>
          <w:lang w:eastAsia="zh-CN"/>
        </w:rPr>
        <w:t>指标：</w:t>
      </w:r>
      <w:r>
        <w:rPr>
          <w:rFonts w:hint="eastAsia" w:ascii="Times New Roman" w:hAnsi="Times New Roman" w:eastAsia="仿宋_GB2312" w:cs="Times New Roman"/>
          <w:color w:val="auto"/>
          <w:kern w:val="2"/>
          <w:sz w:val="32"/>
          <w:szCs w:val="32"/>
          <w:highlight w:val="none"/>
          <w:lang w:val="en-US" w:eastAsia="zh-CN" w:bidi="ar-SA"/>
        </w:rPr>
        <w:t>电堆尺寸识别准确率≥99.5%，长宽高误差≤±0.5mm，关键工序自动化率≥90%；电芯条码读取率≥99.9%，视觉外观缺陷检测准确率≥95%，综合分类准确率≥99%。芯壳分离准确率≥99.9%，极片精拆归集准确率≥99.8%，正负极材料回收率≥99.5%，杂质金属含量控制在Cu≤10ppm，Al≤200ppm，处理能力≥4000吨/年。修复再生正极材料碳含量≤1.5%，产能≥3000吨/年；性能指标：0.1C比容量≥156mAh/g，1C比容量≥140mAh/g，1C倍率循环1000次后容量保持率≥90%。</w:t>
      </w:r>
    </w:p>
    <w:p w14:paraId="12ED832F">
      <w:pPr>
        <w:adjustRightInd w:val="0"/>
        <w:snapToGrid w:val="0"/>
        <w:spacing w:line="580" w:lineRule="exact"/>
        <w:ind w:firstLine="643"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highlight w:val="none"/>
          <w:lang w:eastAsia="zh-CN"/>
        </w:rPr>
        <w:t>（二）</w:t>
      </w:r>
      <w:r>
        <w:rPr>
          <w:rFonts w:hint="eastAsia" w:ascii="Times New Roman" w:hAnsi="Times New Roman" w:eastAsia="仿宋_GB2312" w:cs="Times New Roman"/>
          <w:b/>
          <w:bCs/>
          <w:color w:val="auto"/>
          <w:sz w:val="32"/>
          <w:szCs w:val="32"/>
          <w:highlight w:val="none"/>
          <w:lang w:val="en-US" w:eastAsia="zh-CN"/>
        </w:rPr>
        <w:t>绩效</w:t>
      </w:r>
      <w:r>
        <w:rPr>
          <w:rFonts w:hint="eastAsia" w:ascii="Times New Roman" w:hAnsi="Times New Roman" w:eastAsia="仿宋_GB2312" w:cs="Times New Roman"/>
          <w:b/>
          <w:bCs/>
          <w:color w:val="auto"/>
          <w:sz w:val="32"/>
          <w:szCs w:val="32"/>
          <w:highlight w:val="none"/>
          <w:lang w:eastAsia="zh-CN"/>
        </w:rPr>
        <w:t>评价指标：</w:t>
      </w:r>
      <w:r>
        <w:rPr>
          <w:rFonts w:hint="eastAsia" w:ascii="Times New Roman" w:hAnsi="Times New Roman" w:eastAsia="仿宋_GB2312" w:cs="Times New Roman"/>
          <w:color w:val="auto"/>
          <w:kern w:val="2"/>
          <w:sz w:val="32"/>
          <w:szCs w:val="32"/>
          <w:highlight w:val="none"/>
          <w:u w:val="none"/>
          <w:lang w:val="en-US" w:eastAsia="zh-CN" w:bidi="ar-SA"/>
        </w:rPr>
        <w:t>建成电芯自动化精准识别与分类示范线</w:t>
      </w:r>
      <w:r>
        <w:rPr>
          <w:rFonts w:hint="eastAsia" w:ascii="Times New Roman" w:hAnsi="Times New Roman" w:eastAsia="仿宋_GB2312" w:cs="Times New Roman"/>
          <w:color w:val="auto"/>
          <w:kern w:val="2"/>
          <w:sz w:val="32"/>
          <w:szCs w:val="32"/>
          <w:highlight w:val="none"/>
          <w:lang w:val="en-US" w:eastAsia="zh-CN" w:bidi="ar-SA"/>
        </w:rPr>
        <w:t>；建成全干法电芯高效精拆与活性材料绿色剥离示范线；建设极片绿色精准剥离示范线；建成正极材料修复示范线；搭建退役锂电池资源化全流程技术集成与产线。项目完成后，引进或培养技术人才10名，新增</w:t>
      </w:r>
      <w:bookmarkStart w:id="0" w:name="_GoBack"/>
      <w:bookmarkEnd w:id="0"/>
      <w:r>
        <w:rPr>
          <w:rFonts w:hint="eastAsia" w:ascii="Times New Roman" w:hAnsi="Times New Roman" w:eastAsia="仿宋_GB2312" w:cs="Times New Roman"/>
          <w:color w:val="auto"/>
          <w:kern w:val="2"/>
          <w:sz w:val="32"/>
          <w:szCs w:val="32"/>
          <w:highlight w:val="none"/>
          <w:lang w:val="en-US" w:eastAsia="zh-CN" w:bidi="ar-SA"/>
        </w:rPr>
        <w:t>经济效益</w:t>
      </w:r>
      <w:r>
        <w:rPr>
          <w:rFonts w:hint="default"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2000万元。申请或授权专利</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kern w:val="2"/>
          <w:sz w:val="32"/>
          <w:szCs w:val="32"/>
          <w:highlight w:val="none"/>
          <w:lang w:val="en-US" w:eastAsia="zh-CN" w:bidi="ar-SA"/>
        </w:rPr>
        <w:t>1项</w:t>
      </w:r>
      <w:r>
        <w:rPr>
          <w:rFonts w:hint="default" w:ascii="Times New Roman" w:hAnsi="Times New Roman" w:eastAsia="仿宋_GB2312" w:cs="Times New Roman"/>
          <w:color w:val="auto"/>
          <w:kern w:val="2"/>
          <w:sz w:val="32"/>
          <w:szCs w:val="32"/>
          <w:highlight w:val="none"/>
          <w:lang w:val="en-US" w:eastAsia="zh-CN" w:bidi="ar-SA"/>
        </w:rPr>
        <w:t>。</w:t>
      </w:r>
    </w:p>
    <w:p w14:paraId="6898BA81">
      <w:pPr>
        <w:pStyle w:val="3"/>
        <w:keepNext w:val="0"/>
        <w:keepLines w:val="0"/>
        <w:pageBreakBefore w:val="0"/>
        <w:widowControl w:val="0"/>
        <w:suppressAutoHyphens/>
        <w:kinsoku/>
        <w:wordWrap/>
        <w:topLinePunct w:val="0"/>
        <w:bidi w:val="0"/>
        <w:spacing w:line="560" w:lineRule="exact"/>
        <w:ind w:left="0" w:leftChars="0" w:firstLine="64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项目</w:t>
      </w:r>
      <w:r>
        <w:rPr>
          <w:rFonts w:hint="eastAsia" w:cs="Times New Roman"/>
          <w:color w:val="auto"/>
          <w:sz w:val="32"/>
          <w:szCs w:val="32"/>
          <w:highlight w:val="none"/>
          <w:lang w:val="en-US" w:eastAsia="zh-CN"/>
        </w:rPr>
        <w:t>6</w:t>
      </w:r>
      <w:r>
        <w:rPr>
          <w:rFonts w:hint="eastAsia" w:ascii="Times New Roman" w:hAnsi="Times New Roman" w:cs="Times New Roman"/>
          <w:color w:val="auto"/>
          <w:sz w:val="32"/>
          <w:szCs w:val="32"/>
          <w:highlight w:val="none"/>
          <w:lang w:val="en-US" w:eastAsia="zh-CN"/>
        </w:rPr>
        <w:t>：TCO导电膜玻璃精加工技术</w:t>
      </w:r>
      <w:r>
        <w:rPr>
          <w:rFonts w:hint="eastAsia" w:cs="Times New Roman"/>
          <w:color w:val="auto"/>
          <w:sz w:val="32"/>
          <w:szCs w:val="32"/>
          <w:highlight w:val="none"/>
          <w:lang w:val="en-US" w:eastAsia="zh-CN"/>
        </w:rPr>
        <w:t>研发</w:t>
      </w:r>
    </w:p>
    <w:p w14:paraId="6AEDF877">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研究内容：</w:t>
      </w:r>
      <w:r>
        <w:rPr>
          <w:rFonts w:hint="eastAsia" w:ascii="Times New Roman" w:hAnsi="Times New Roman" w:eastAsia="仿宋_GB2312" w:cs="Times New Roman"/>
          <w:color w:val="auto"/>
          <w:sz w:val="32"/>
          <w:szCs w:val="32"/>
          <w:highlight w:val="none"/>
          <w:lang w:val="en-US" w:eastAsia="zh-CN"/>
        </w:rPr>
        <w:t>面向高效光伏、显示触控、智能光电等领域对高透光、低方阻、高稳定TCO导电膜玻璃的迫切需求，聚焦国产TCO玻璃膜层均匀性差、刻蚀精度不足、耐候性与规模化兼容难等痛点，开展TCO导电膜玻璃精加工关键技术研究：研发高精度在线CVD复合镀膜工艺，突破大面积基板膜厚均匀性、透光率协同调控技术；攻克超洁净预处理、应力与翘曲控制等精加工核心工艺，提升膜层结合力与加工一致性；开发TCO玻璃在线光学－电学－缺陷一体化检测装备，实现全流程质量闭环管控；研制高耐久、低缺陷、定制化TCO导电膜玻璃精加工产品，实现规模化生产与光伏、显示领域示范应用。</w:t>
      </w:r>
    </w:p>
    <w:p w14:paraId="2C243F3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考核指标：</w:t>
      </w:r>
    </w:p>
    <w:p w14:paraId="2BBDFD65">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验收考核指标</w:t>
      </w:r>
      <w:r>
        <w:rPr>
          <w:rFonts w:hint="eastAsia" w:ascii="Times New Roman" w:hAnsi="Times New Roman" w:eastAsia="仿宋_GB2312" w:cs="Times New Roman"/>
          <w:color w:val="auto"/>
          <w:sz w:val="32"/>
          <w:szCs w:val="32"/>
          <w:highlight w:val="none"/>
          <w:lang w:val="en-US" w:eastAsia="zh-CN"/>
        </w:rPr>
        <w:t>：光伏透射比（2～3.2mm）≥80%（GB/T30983，9点测量法）；雾度：与明示标称值偏差≤±2.0%（GB/T30983，9点测量法）；方块电阻：5～15Ω/□且与明示标称值偏差≤±1.5Ω/□（GB/T26074-2010直流四探针法）；膜层附着力：试验前、后对比，无明显损伤、脱膜（GB/T5270划格法/胶带剥离法）；耐热性：光伏透射比差值≤±2.0%，方块电阻差值≤±2.0Ω，无局部脱膜（GB/T30984.2-2014第6.8条）；耐冻性：光伏透射比差值≤±2.0%，方块电阻差值≤±2.0Ω，无局部脱膜（GB/T30984.2-2014第6.9条）；耐湿性：光伏透射比差值≤±2.0%，方块电阻差值≤±2.0Ω，无局部脱膜（GB/T30984.2-2014第6.10条）。</w:t>
      </w:r>
    </w:p>
    <w:p w14:paraId="1DFD07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仿宋_GB2312"/>
          <w:color w:val="auto"/>
          <w:lang w:eastAsia="zh-CN"/>
        </w:rPr>
      </w:pPr>
      <w:r>
        <w:rPr>
          <w:rFonts w:hint="eastAsia" w:ascii="Times New Roman" w:hAnsi="Times New Roman" w:eastAsia="仿宋_GB2312" w:cs="Times New Roman"/>
          <w:b/>
          <w:bCs/>
          <w:color w:val="auto"/>
          <w:sz w:val="32"/>
          <w:szCs w:val="32"/>
          <w:highlight w:val="none"/>
          <w:lang w:val="en-US" w:eastAsia="zh-CN"/>
        </w:rPr>
        <w:t>（二）绩效评价指标：</w:t>
      </w:r>
      <w:r>
        <w:rPr>
          <w:rFonts w:hint="eastAsia" w:ascii="Times New Roman" w:hAnsi="Times New Roman" w:eastAsia="仿宋_GB2312" w:cs="Times New Roman"/>
          <w:color w:val="auto"/>
          <w:sz w:val="32"/>
          <w:szCs w:val="32"/>
          <w:highlight w:val="none"/>
          <w:lang w:val="en-US" w:eastAsia="zh-CN"/>
        </w:rPr>
        <w:t>建成稳定量产线，形成年产</w:t>
      </w:r>
      <w:r>
        <w:rPr>
          <w:rFonts w:hint="eastAsia" w:ascii="Times New Roman" w:hAnsi="Times New Roman" w:eastAsia="仿宋_GB2312" w:cs="Times New Roman"/>
          <w:color w:val="FF0000"/>
          <w:sz w:val="32"/>
          <w:szCs w:val="32"/>
          <w:highlight w:val="none"/>
          <w:lang w:val="en-US" w:eastAsia="zh-CN"/>
        </w:rPr>
        <w:t>1500万㎡规模化能力</w:t>
      </w:r>
      <w:r>
        <w:rPr>
          <w:rFonts w:hint="eastAsia" w:ascii="Times New Roman" w:hAnsi="Times New Roman" w:eastAsia="仿宋_GB2312" w:cs="Times New Roman"/>
          <w:color w:val="auto"/>
          <w:sz w:val="32"/>
          <w:szCs w:val="32"/>
          <w:highlight w:val="none"/>
          <w:lang w:val="en-US" w:eastAsia="zh-CN"/>
        </w:rPr>
        <w:t>；实现在高效光伏、触控显示等领域</w:t>
      </w:r>
      <w:r>
        <w:rPr>
          <w:rFonts w:hint="eastAsia" w:ascii="Times New Roman" w:hAnsi="Times New Roman" w:eastAsia="仿宋_GB2312" w:cs="Times New Roman"/>
          <w:color w:val="FF0000"/>
          <w:sz w:val="32"/>
          <w:szCs w:val="32"/>
          <w:highlight w:val="none"/>
          <w:lang w:val="en-US" w:eastAsia="zh-CN"/>
        </w:rPr>
        <w:t>示范</w:t>
      </w:r>
      <w:r>
        <w:rPr>
          <w:rFonts w:hint="eastAsia" w:ascii="Times New Roman" w:hAnsi="Times New Roman" w:eastAsia="仿宋_GB2312" w:cs="Times New Roman"/>
          <w:color w:val="auto"/>
          <w:sz w:val="32"/>
          <w:szCs w:val="32"/>
          <w:highlight w:val="none"/>
          <w:lang w:val="en-US" w:eastAsia="zh-CN"/>
        </w:rPr>
        <w:t>应用，申请或授权发明专利≥</w:t>
      </w:r>
      <w:r>
        <w:rPr>
          <w:rFonts w:hint="default"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val="en-US" w:eastAsia="zh-CN"/>
        </w:rPr>
        <w:t>项。</w:t>
      </w:r>
    </w:p>
    <w:p w14:paraId="243A22D5">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eastAsia" w:ascii="Times New Roman" w:hAnsi="Times New Roman" w:cs="Times New Roman"/>
          <w:color w:val="auto"/>
          <w:sz w:val="32"/>
          <w:szCs w:val="32"/>
          <w:highlight w:val="none"/>
          <w:lang w:val="en-US" w:eastAsia="zh-CN"/>
        </w:rPr>
      </w:pPr>
      <w:r>
        <w:rPr>
          <w:rFonts w:hint="eastAsia" w:ascii="Times New Roman" w:hAnsi="Times New Roman" w:cs="Times New Roman"/>
          <w:color w:val="auto"/>
          <w:sz w:val="32"/>
          <w:szCs w:val="32"/>
          <w:highlight w:val="none"/>
          <w:lang w:val="en-US" w:eastAsia="zh-CN"/>
        </w:rPr>
        <w:t>项目7：基于噬菌体展示技术的前列腺癌靶向多肽先导化合物基础研究</w:t>
      </w:r>
    </w:p>
    <w:p w14:paraId="4BCDFB25">
      <w:pPr>
        <w:keepNext w:val="0"/>
        <w:keepLines w:val="0"/>
        <w:pageBreakBefore w:val="0"/>
        <w:widowControl w:val="0"/>
        <w:kinsoku/>
        <w:wordWrap/>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color w:val="auto"/>
          <w:sz w:val="32"/>
          <w:szCs w:val="32"/>
          <w:highlight w:val="none"/>
        </w:rPr>
        <w:t>研究内容：</w:t>
      </w:r>
      <w:r>
        <w:rPr>
          <w:rFonts w:hint="eastAsia" w:ascii="Times New Roman" w:hAnsi="Times New Roman" w:eastAsia="仿宋_GB2312" w:cs="Times New Roman"/>
          <w:b w:val="0"/>
          <w:bCs w:val="0"/>
          <w:color w:val="auto"/>
          <w:sz w:val="32"/>
          <w:szCs w:val="32"/>
          <w:highlight w:val="none"/>
          <w:lang w:val="en-US" w:eastAsia="zh-CN"/>
        </w:rPr>
        <w:t>面向我国前列腺癌晚期患者精准靶向治疗需求，针对进口核素偶联药物可及性差、国内靶向多肽存在亲和力不足等技术空白，开展基于噬菌体展示技术的前列腺癌靶向多肽先导化合物研发。构建高多样性噬菌体随机线性多肽文库与环肽文库，优化PCR扩增与噬菌体包装工艺，建立动态梯度淘选与活细胞表面抗原筛选技术，解决序列偏倚与非特异性结合难题；引入非天然氨基酸修饰与环化改造技术，提升多肽亲和力与血清稳定性，建立多维度筛选体系；构建SPR动力学分析、分子对接模拟及前列腺癌异种移植模型，验证多肽靶向递送效率与体内功能，最终筛选优化出高特异高亲和力的靶向多肽先导化合物，推动临床转化与产业化应用。</w:t>
      </w:r>
    </w:p>
    <w:p w14:paraId="5F194ED0">
      <w:pPr>
        <w:keepNext w:val="0"/>
        <w:keepLines w:val="0"/>
        <w:pageBreakBefore w:val="0"/>
        <w:widowControl w:val="0"/>
        <w:numPr>
          <w:ilvl w:val="-1"/>
          <w:numId w:val="0"/>
        </w:numPr>
        <w:shd w:val="clear" w:color="auto" w:fill="auto"/>
        <w:kinsoku/>
        <w:wordWrap/>
        <w:overflowPunct w:val="0"/>
        <w:topLinePunct w:val="0"/>
        <w:autoSpaceDE/>
        <w:autoSpaceDN/>
        <w:bidi w:val="0"/>
        <w:adjustRightInd w:val="0"/>
        <w:spacing w:line="560" w:lineRule="exact"/>
        <w:ind w:firstLine="643" w:firstLineChars="200"/>
        <w:contextualSpacing/>
        <w:textAlignment w:val="auto"/>
        <w:rPr>
          <w:rFonts w:hint="default" w:ascii="Times New Roman" w:hAnsi="Times New Roman" w:eastAsia="仿宋_GB2312" w:cs="Times New Roman"/>
          <w:b/>
          <w:bCs/>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考核指标：</w:t>
      </w:r>
    </w:p>
    <w:p w14:paraId="4567FD02">
      <w:pPr>
        <w:keepNext w:val="0"/>
        <w:keepLines w:val="0"/>
        <w:pageBreakBefore w:val="0"/>
        <w:widowControl w:val="0"/>
        <w:numPr>
          <w:ilvl w:val="0"/>
          <w:numId w:val="3"/>
        </w:numPr>
        <w:kinsoku/>
        <w:wordWrap/>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eastAsia="zh-CN"/>
        </w:rPr>
        <w:t>验收</w:t>
      </w:r>
      <w:r>
        <w:rPr>
          <w:rFonts w:hint="eastAsia" w:ascii="Times New Roman" w:hAnsi="Times New Roman" w:eastAsia="仿宋_GB2312" w:cs="Times New Roman"/>
          <w:b/>
          <w:bCs/>
          <w:color w:val="auto"/>
          <w:sz w:val="32"/>
          <w:szCs w:val="32"/>
          <w:highlight w:val="none"/>
          <w:lang w:val="en-US" w:eastAsia="zh-CN"/>
        </w:rPr>
        <w:t>考核</w:t>
      </w:r>
      <w:r>
        <w:rPr>
          <w:rFonts w:hint="eastAsia" w:ascii="Times New Roman" w:hAnsi="Times New Roman" w:eastAsia="仿宋_GB2312" w:cs="Times New Roman"/>
          <w:b/>
          <w:bCs/>
          <w:color w:val="auto"/>
          <w:sz w:val="32"/>
          <w:szCs w:val="32"/>
          <w:highlight w:val="none"/>
          <w:lang w:eastAsia="zh-CN"/>
        </w:rPr>
        <w:t>指标：</w:t>
      </w:r>
      <w:r>
        <w:rPr>
          <w:rFonts w:hint="eastAsia" w:ascii="Times New Roman" w:hAnsi="Times New Roman" w:eastAsia="仿宋_GB2312" w:cs="Times New Roman"/>
          <w:b w:val="0"/>
          <w:bCs w:val="0"/>
          <w:color w:val="auto"/>
          <w:sz w:val="32"/>
          <w:szCs w:val="32"/>
          <w:highlight w:val="none"/>
          <w:lang w:val="en-US" w:eastAsia="zh-CN"/>
        </w:rPr>
        <w:t>筛选并优化出高特异性前列腺癌靶向多肽先导化合物，与靶蛋白结合亲和力KD≤10nM，24小时蛋白酶降解率15%～20%，环化修饰率≥65%；动物模型中多肽肿瘤靶向富集效率≥75%。优化后的噬菌体文库序列正确率≥90%，非特异性结合率≤10%。</w:t>
      </w:r>
    </w:p>
    <w:p w14:paraId="5B70357B">
      <w:pPr>
        <w:keepNext w:val="0"/>
        <w:keepLines w:val="0"/>
        <w:pageBreakBefore w:val="0"/>
        <w:widowControl w:val="0"/>
        <w:kinsoku/>
        <w:wordWrap/>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cs="Times New Roman"/>
          <w:b w:val="0"/>
          <w:bCs w:val="0"/>
          <w:color w:val="auto"/>
          <w:sz w:val="32"/>
          <w:szCs w:val="32"/>
          <w:highlight w:val="none"/>
          <w:lang w:eastAsia="zh-CN"/>
        </w:rPr>
      </w:pPr>
      <w:r>
        <w:rPr>
          <w:rFonts w:hint="eastAsia" w:ascii="Times New Roman" w:hAnsi="Times New Roman" w:eastAsia="仿宋_GB2312" w:cs="Times New Roman"/>
          <w:b/>
          <w:bCs/>
          <w:color w:val="auto"/>
          <w:sz w:val="32"/>
          <w:szCs w:val="32"/>
          <w:highlight w:val="none"/>
          <w:lang w:eastAsia="zh-CN"/>
        </w:rPr>
        <w:t>（二）</w:t>
      </w:r>
      <w:r>
        <w:rPr>
          <w:rFonts w:hint="eastAsia" w:ascii="Times New Roman" w:hAnsi="Times New Roman" w:eastAsia="仿宋_GB2312" w:cs="Times New Roman"/>
          <w:b/>
          <w:bCs/>
          <w:color w:val="auto"/>
          <w:sz w:val="32"/>
          <w:szCs w:val="32"/>
          <w:highlight w:val="none"/>
          <w:lang w:val="en-US" w:eastAsia="zh-CN"/>
        </w:rPr>
        <w:t>绩效</w:t>
      </w:r>
      <w:r>
        <w:rPr>
          <w:rFonts w:hint="eastAsia" w:ascii="Times New Roman" w:hAnsi="Times New Roman" w:eastAsia="仿宋_GB2312" w:cs="Times New Roman"/>
          <w:b/>
          <w:bCs/>
          <w:color w:val="auto"/>
          <w:sz w:val="32"/>
          <w:szCs w:val="32"/>
          <w:highlight w:val="none"/>
          <w:lang w:eastAsia="zh-CN"/>
        </w:rPr>
        <w:t>评价指标：</w:t>
      </w:r>
      <w:r>
        <w:rPr>
          <w:rFonts w:hint="eastAsia" w:ascii="Times New Roman" w:hAnsi="Times New Roman" w:eastAsia="仿宋_GB2312" w:cs="Times New Roman"/>
          <w:b w:val="0"/>
          <w:bCs w:val="0"/>
          <w:color w:val="auto"/>
          <w:sz w:val="32"/>
          <w:szCs w:val="32"/>
          <w:highlight w:val="none"/>
          <w:lang w:val="en-US" w:eastAsia="zh-CN"/>
        </w:rPr>
        <w:t>申请或授权发明专利不少于1项，培养或引进青年科研人才2名。</w:t>
      </w:r>
    </w:p>
    <w:p w14:paraId="5D021C00">
      <w:pPr>
        <w:pStyle w:val="3"/>
        <w:keepNext w:val="0"/>
        <w:keepLines w:val="0"/>
        <w:pageBreakBefore w:val="0"/>
        <w:widowControl w:val="0"/>
        <w:suppressAutoHyphens/>
        <w:kinsoku/>
        <w:wordWrap/>
        <w:topLinePunct w:val="0"/>
        <w:bidi w:val="0"/>
        <w:spacing w:line="560" w:lineRule="exact"/>
        <w:ind w:firstLine="640" w:firstLineChars="200"/>
        <w:textAlignment w:val="auto"/>
        <w:rPr>
          <w:rFonts w:hint="default" w:ascii="Times New Roman" w:hAnsi="Times New Roman" w:cs="Times New Roman"/>
          <w:color w:val="auto"/>
          <w:sz w:val="32"/>
          <w:szCs w:val="32"/>
          <w:highlight w:val="none"/>
          <w:lang w:eastAsia="zh-CN"/>
        </w:rPr>
      </w:pPr>
      <w:r>
        <w:rPr>
          <w:rFonts w:hint="default" w:ascii="Times New Roman" w:hAnsi="Times New Roman" w:cs="Times New Roman"/>
          <w:color w:val="auto"/>
          <w:sz w:val="32"/>
          <w:szCs w:val="32"/>
          <w:highlight w:val="none"/>
          <w:lang w:val="en-US" w:eastAsia="zh-CN"/>
        </w:rPr>
        <w:t>项目</w:t>
      </w:r>
      <w:r>
        <w:rPr>
          <w:rFonts w:hint="eastAsia" w:cs="Times New Roman"/>
          <w:color w:val="auto"/>
          <w:sz w:val="32"/>
          <w:szCs w:val="32"/>
          <w:highlight w:val="none"/>
          <w:lang w:val="en-US" w:eastAsia="zh-CN"/>
        </w:rPr>
        <w:t>8</w:t>
      </w:r>
      <w:r>
        <w:rPr>
          <w:rFonts w:hint="default" w:ascii="Times New Roman" w:hAnsi="Times New Roman" w:cs="Times New Roman"/>
          <w:color w:val="auto"/>
          <w:sz w:val="32"/>
          <w:szCs w:val="32"/>
          <w:highlight w:val="none"/>
          <w:lang w:val="en-US" w:eastAsia="zh-CN"/>
        </w:rPr>
        <w:t>：</w:t>
      </w:r>
      <w:r>
        <w:rPr>
          <w:rFonts w:hint="default" w:ascii="Times New Roman" w:hAnsi="Times New Roman" w:cs="Times New Roman"/>
          <w:color w:val="auto"/>
          <w:sz w:val="32"/>
          <w:szCs w:val="32"/>
          <w:highlight w:val="none"/>
          <w:lang w:eastAsia="zh-CN"/>
        </w:rPr>
        <w:t>AI工业大模型及智能产线关键技术研发</w:t>
      </w:r>
    </w:p>
    <w:p w14:paraId="484B9AE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bCs/>
          <w:color w:val="auto"/>
          <w:sz w:val="32"/>
          <w:szCs w:val="32"/>
        </w:rPr>
        <w:t>研究内容：</w:t>
      </w:r>
      <w:r>
        <w:rPr>
          <w:rFonts w:hint="default" w:ascii="Times New Roman" w:hAnsi="Times New Roman" w:eastAsia="仿宋_GB2312" w:cs="Times New Roman"/>
          <w:b w:val="0"/>
          <w:bCs w:val="0"/>
          <w:color w:val="auto"/>
          <w:sz w:val="32"/>
          <w:szCs w:val="32"/>
          <w:highlight w:val="none"/>
          <w:lang w:val="en-US" w:eastAsia="zh-CN"/>
        </w:rPr>
        <w:t>面向离散制造行业智能化转型对高效编程、高精度加工及预测性维护的迫切需求，针对传统数控加工编程门槛高、热变形误差难补偿、设备互联互通性差等痛点，开展AI工业大模型及智能产线关键技术研发。研究多模态语义理解与G代码生成技术，实现自然语言到工程指令的毫秒级转化；研发AI热误差动态补偿技术，提升跨设备加工精度；开发多源异构数据融合的早期故障诊断模型；构建边缘－云协同的远程运维架构，统一多品牌通信协议。研制AI智能编程与运维一体化系统，实现规模化生产和示范应用。</w:t>
      </w:r>
    </w:p>
    <w:p w14:paraId="51005B8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考核指标：</w:t>
      </w:r>
    </w:p>
    <w:p w14:paraId="37DC509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32"/>
        </w:rPr>
      </w:pPr>
      <w:r>
        <w:rPr>
          <w:rFonts w:hint="eastAsia" w:ascii="Times New Roman" w:hAnsi="Times New Roman" w:eastAsia="仿宋_GB2312" w:cs="Times New Roman"/>
          <w:b/>
          <w:bCs/>
          <w:color w:val="auto"/>
          <w:sz w:val="32"/>
          <w:szCs w:val="32"/>
          <w:lang w:eastAsia="zh-CN"/>
        </w:rPr>
        <w:t>（一）</w:t>
      </w:r>
      <w:r>
        <w:rPr>
          <w:rFonts w:hint="default" w:ascii="Times New Roman" w:hAnsi="Times New Roman" w:eastAsia="仿宋_GB2312" w:cs="Times New Roman"/>
          <w:b/>
          <w:bCs/>
          <w:color w:val="auto"/>
          <w:sz w:val="32"/>
          <w:szCs w:val="32"/>
        </w:rPr>
        <w:t>验收考核指标：</w:t>
      </w:r>
      <w:r>
        <w:rPr>
          <w:rFonts w:hint="eastAsia" w:ascii="仿宋_GB2312" w:hAnsi="仿宋_GB2312" w:eastAsia="仿宋_GB2312" w:cs="仿宋_GB2312"/>
          <w:color w:val="auto"/>
          <w:sz w:val="32"/>
          <w:szCs w:val="32"/>
        </w:rPr>
        <w:t>系统性能：研制AI智能编程与运维系统1套。实现自然语言到G代码的生成时间≤8秒；支持主流数控系统品牌≥5种；故障早期预警</w:t>
      </w:r>
      <w:r>
        <w:rPr>
          <w:rFonts w:hint="eastAsia" w:ascii="仿宋_GB2312" w:hAnsi="仿宋_GB2312" w:eastAsia="仿宋_GB2312" w:cs="仿宋_GB2312"/>
          <w:color w:val="auto"/>
          <w:sz w:val="32"/>
          <w:szCs w:val="32"/>
          <w:lang w:val="en-US" w:eastAsia="zh-CN"/>
        </w:rPr>
        <w:t>误报</w:t>
      </w:r>
      <w:r>
        <w:rPr>
          <w:rFonts w:hint="eastAsia" w:ascii="仿宋_GB2312" w:hAnsi="仿宋_GB2312" w:eastAsia="仿宋_GB2312" w:cs="仿宋_GB2312"/>
          <w:color w:val="auto"/>
          <w:sz w:val="32"/>
          <w:szCs w:val="32"/>
        </w:rPr>
        <w:t>率</w:t>
      </w:r>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%；热误差补偿后加工精度</w:t>
      </w:r>
      <w:r>
        <w:rPr>
          <w:rFonts w:hint="eastAsia" w:ascii="仿宋_GB2312" w:hAnsi="仿宋_GB2312" w:eastAsia="仿宋_GB2312" w:cs="仿宋_GB2312"/>
          <w:color w:val="auto"/>
          <w:sz w:val="32"/>
          <w:szCs w:val="32"/>
          <w:lang w:val="en-US" w:eastAsia="zh-CN"/>
        </w:rPr>
        <w:t>提升</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%。知识产权：申请或授权发明专利≥3项，软件著作权≥3件，参与</w:t>
      </w:r>
      <w:r>
        <w:rPr>
          <w:rFonts w:hint="eastAsia" w:ascii="仿宋_GB2312" w:hAnsi="仿宋_GB2312" w:eastAsia="仿宋_GB2312" w:cs="仿宋_GB2312"/>
          <w:color w:val="auto"/>
          <w:sz w:val="32"/>
          <w:szCs w:val="32"/>
          <w:lang w:val="en-US" w:eastAsia="zh-CN"/>
        </w:rPr>
        <w:t>制定</w:t>
      </w:r>
      <w:r>
        <w:rPr>
          <w:rFonts w:hint="eastAsia" w:ascii="仿宋_GB2312" w:hAnsi="仿宋_GB2312" w:eastAsia="仿宋_GB2312" w:cs="仿宋_GB2312"/>
          <w:color w:val="auto"/>
          <w:sz w:val="32"/>
          <w:szCs w:val="32"/>
        </w:rPr>
        <w:t>标准≥2项。</w:t>
      </w:r>
    </w:p>
    <w:p w14:paraId="6841EB6C">
      <w:pPr>
        <w:ind w:firstLine="643" w:firstLineChars="20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b/>
          <w:bCs/>
          <w:color w:val="auto"/>
          <w:sz w:val="32"/>
          <w:szCs w:val="32"/>
          <w:lang w:eastAsia="zh-CN"/>
        </w:rPr>
        <w:t>（二）</w:t>
      </w:r>
      <w:r>
        <w:rPr>
          <w:rFonts w:hint="default" w:ascii="Times New Roman" w:hAnsi="Times New Roman" w:eastAsia="仿宋_GB2312" w:cs="Times New Roman"/>
          <w:b/>
          <w:bCs/>
          <w:color w:val="auto"/>
          <w:sz w:val="32"/>
          <w:szCs w:val="32"/>
        </w:rPr>
        <w:t>绩效评价指标：</w:t>
      </w:r>
      <w:r>
        <w:rPr>
          <w:rFonts w:hint="eastAsia" w:ascii="仿宋_GB2312" w:hAnsi="仿宋_GB2312" w:eastAsia="仿宋_GB2312" w:cs="仿宋_GB2312"/>
          <w:color w:val="auto"/>
          <w:sz w:val="32"/>
          <w:szCs w:val="32"/>
        </w:rPr>
        <w:t>构建AI工业大模型应用示范产线，形成年产20套智能运维终端的规模化生产能力。在航空航天、海洋装备、家电等领域实现应用示范，实施期内新增经济效益≥</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00万元，降低企业运维成本≥</w:t>
      </w:r>
      <w:r>
        <w:rPr>
          <w:rFonts w:hint="eastAsia" w:ascii="仿宋_GB2312" w:hAnsi="仿宋_GB2312" w:eastAsia="仿宋_GB2312" w:cs="仿宋_GB2312"/>
          <w:color w:val="auto"/>
          <w:sz w:val="32"/>
          <w:szCs w:val="32"/>
          <w:lang w:val="en-US" w:eastAsia="zh-CN"/>
        </w:rPr>
        <w:t>15</w:t>
      </w:r>
      <w:r>
        <w:rPr>
          <w:rFonts w:hint="eastAsia" w:ascii="仿宋_GB2312" w:hAnsi="仿宋_GB2312" w:eastAsia="仿宋_GB2312" w:cs="仿宋_GB2312"/>
          <w:color w:val="auto"/>
          <w:sz w:val="32"/>
          <w:szCs w:val="32"/>
        </w:rPr>
        <w:t>%，提升产线运行效率≥1</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w:t>
      </w:r>
    </w:p>
    <w:p w14:paraId="5062D53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项目9：高精度车铣复合加工中心研制与应用</w:t>
      </w:r>
    </w:p>
    <w:p w14:paraId="0D966034">
      <w:pPr>
        <w:keepNext w:val="0"/>
        <w:keepLines w:val="0"/>
        <w:pageBreakBefore w:val="0"/>
        <w:kinsoku/>
        <w:wordWrap/>
        <w:topLinePunct w:val="0"/>
        <w:autoSpaceDE/>
        <w:autoSpaceDN/>
        <w:bidi w:val="0"/>
        <w:spacing w:line="560" w:lineRule="exact"/>
        <w:ind w:firstLine="643" w:firstLineChars="200"/>
        <w:jc w:val="both"/>
        <w:textAlignment w:val="auto"/>
        <w:rPr>
          <w:rFonts w:hint="eastAsia" w:ascii="楷体_GB2312" w:hAnsi="楷体_GB2312" w:eastAsia="仿宋" w:cs="楷体_GB2312"/>
          <w:b/>
          <w:bCs/>
          <w:color w:val="auto"/>
          <w:sz w:val="32"/>
          <w:lang w:val="en-US" w:eastAsia="zh-CN"/>
          <w14:ligatures w14:val="none"/>
        </w:rPr>
      </w:pPr>
      <w:r>
        <w:rPr>
          <w:rFonts w:hint="eastAsia" w:ascii="Times New Roman" w:hAnsi="Times New Roman" w:eastAsia="仿宋_GB2312" w:cs="Times New Roman"/>
          <w:b/>
          <w:bCs/>
          <w:color w:val="auto"/>
          <w:sz w:val="32"/>
          <w:szCs w:val="32"/>
          <w:highlight w:val="none"/>
          <w:lang w:val="en-US" w:eastAsia="zh-CN"/>
        </w:rPr>
        <w:t>研究内容：</w:t>
      </w:r>
      <w:r>
        <w:rPr>
          <w:rFonts w:hint="eastAsia" w:ascii="Times New Roman" w:hAnsi="Times New Roman" w:eastAsia="仿宋_GB2312" w:cs="Times New Roman"/>
          <w:b w:val="0"/>
          <w:color w:val="auto"/>
          <w:kern w:val="2"/>
          <w:sz w:val="32"/>
          <w:szCs w:val="24"/>
          <w:lang w:val="en-US" w:eastAsia="zh-CN" w:bidi="ar-SA"/>
          <w14:ligatures w14:val="none"/>
        </w:rPr>
        <w:t>聚焦面向航空航天、船舶、能源装备等国家战略领域对高端加工装备的迫切需求，针对国产高精度车铣复合加工中心存在的结构刚度不足、动态响应慢、加工精度稳定性差、与国产数控系统匹配性不佳等核心瓶颈问题，在现有样机基础上开展系统性技术攻关，拟突破复杂典型零件车铣复合加工工艺适配性技术、高精度车铣复合加工中心正向设计及制造关键技术、关键功能部件静动态特性分析与轻量化优化设计技术、国产数控系统与机械系统的匹配性及协同控制技术、数控机床综合空间误差建模与动态实时补偿技术、高精度车铣复合加工应用示范与工艺验证。通过项目实施，研制出具有完全自主知识产权的高精度车铣复合加工中心，实现复杂典型零件的高精度、高效率一体化加工。</w:t>
      </w:r>
    </w:p>
    <w:p w14:paraId="33D6435A">
      <w:pPr>
        <w:keepNext w:val="0"/>
        <w:keepLines w:val="0"/>
        <w:pageBreakBefore w:val="0"/>
        <w:widowControl w:val="0"/>
        <w:kinsoku/>
        <w:wordWrap/>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考核指标：</w:t>
      </w:r>
    </w:p>
    <w:p w14:paraId="2B7B4CCD">
      <w:pPr>
        <w:keepNext w:val="0"/>
        <w:keepLines w:val="0"/>
        <w:pageBreakBefore w:val="0"/>
        <w:widowControl w:val="0"/>
        <w:suppressLineNumbers w:val="0"/>
        <w:suppressAutoHyphens/>
        <w:kinsoku/>
        <w:wordWrap/>
        <w:overflowPunct w:val="0"/>
        <w:topLinePunct w:val="0"/>
        <w:autoSpaceDE/>
        <w:autoSpaceDN/>
        <w:bidi w:val="0"/>
        <w:adjustRightInd/>
        <w:snapToGrid/>
        <w:spacing w:beforeAutospacing="0" w:afterAutospacing="0" w:line="560" w:lineRule="exact"/>
        <w:ind w:firstLine="643" w:firstLineChars="200"/>
        <w:jc w:val="both"/>
        <w:textAlignment w:val="auto"/>
        <w:rPr>
          <w:rFonts w:hint="eastAsia" w:ascii="楷体_GB2312" w:hAnsi="楷体_GB2312" w:eastAsia="楷体_GB2312" w:cs="楷体_GB2312"/>
          <w:b/>
          <w:bCs/>
          <w:color w:val="auto"/>
          <w:sz w:val="32"/>
          <w:u w:val="single"/>
          <w14:ligatures w14:val="none"/>
        </w:rPr>
      </w:pPr>
      <w:r>
        <w:rPr>
          <w:rFonts w:hint="eastAsia" w:ascii="Times New Roman" w:hAnsi="Times New Roman" w:eastAsia="仿宋_GB2312" w:cs="Times New Roman"/>
          <w:b/>
          <w:bCs/>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val="en-US" w:eastAsia="zh-CN"/>
        </w:rPr>
        <w:t>一</w:t>
      </w:r>
      <w:r>
        <w:rPr>
          <w:rFonts w:hint="eastAsia" w:ascii="Times New Roman" w:hAnsi="Times New Roman" w:eastAsia="仿宋_GB2312" w:cs="Times New Roman"/>
          <w:b/>
          <w:bCs/>
          <w:color w:val="auto"/>
          <w:sz w:val="32"/>
          <w:szCs w:val="32"/>
          <w:highlight w:val="none"/>
          <w:lang w:eastAsia="zh-CN"/>
        </w:rPr>
        <w:t>）验收考核指标：</w:t>
      </w:r>
      <w:r>
        <w:rPr>
          <w:rFonts w:hint="eastAsia" w:ascii="Times New Roman" w:hAnsi="Times New Roman" w:eastAsia="仿宋_GB2312" w:cs="Times New Roman"/>
          <w:b w:val="0"/>
          <w:color w:val="auto"/>
          <w:kern w:val="2"/>
          <w:sz w:val="32"/>
          <w:szCs w:val="24"/>
          <w:lang w:val="en-US" w:eastAsia="zh-CN" w:bidi="ar-SA"/>
          <w14:ligatures w14:val="none"/>
        </w:rPr>
        <w:t>研制出具有完全自主知识产权的高精度车铣复合加工中心样机1台，直线轴定位精度为±0.006mm/m、重复定位精度为±0.003mm/m、B轴摆角±110°、B轴分度定位精度2.5"、B轴摆动扭矩900Nm、B轴分度扭矩500Nm、B轴最小可编程增量0.001mm。申请或授权专利</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color w:val="auto"/>
          <w:kern w:val="2"/>
          <w:sz w:val="32"/>
          <w:szCs w:val="24"/>
          <w:lang w:val="en-US" w:eastAsia="zh-CN" w:bidi="ar-SA"/>
          <w14:ligatures w14:val="none"/>
        </w:rPr>
        <w:t>2项。</w:t>
      </w:r>
    </w:p>
    <w:p w14:paraId="39017FFE">
      <w:pPr>
        <w:keepNext w:val="0"/>
        <w:keepLines w:val="0"/>
        <w:pageBreakBefore w:val="0"/>
        <w:widowControl w:val="0"/>
        <w:numPr>
          <w:ilvl w:val="0"/>
          <w:numId w:val="0"/>
        </w:numPr>
        <w:kinsoku/>
        <w:wordWrap/>
        <w:overflowPunct w:val="0"/>
        <w:topLinePunct w:val="0"/>
        <w:autoSpaceDE/>
        <w:autoSpaceDN/>
        <w:bidi w:val="0"/>
        <w:adjustRightInd/>
        <w:snapToGrid/>
        <w:spacing w:beforeAutospacing="0" w:afterAutospacing="0" w:line="560" w:lineRule="exact"/>
        <w:ind w:firstLine="643" w:firstLineChars="200"/>
        <w:jc w:val="both"/>
        <w:textAlignment w:val="auto"/>
        <w:rPr>
          <w:rFonts w:hint="eastAsia" w:ascii="楷体_GB2312" w:hAnsi="楷体_GB2312" w:eastAsia="楷体_GB2312" w:cs="楷体_GB2312"/>
          <w:b/>
          <w:bCs/>
          <w:color w:val="auto"/>
          <w:sz w:val="32"/>
          <w14:ligatures w14:val="none"/>
        </w:rPr>
      </w:pPr>
      <w:r>
        <w:rPr>
          <w:rFonts w:hint="eastAsia" w:ascii="Times New Roman" w:hAnsi="Times New Roman" w:eastAsia="仿宋_GB2312" w:cs="Times New Roman"/>
          <w:b/>
          <w:bCs/>
          <w:color w:val="auto"/>
          <w:sz w:val="32"/>
          <w:szCs w:val="32"/>
          <w:highlight w:val="none"/>
          <w:lang w:eastAsia="zh-CN"/>
        </w:rPr>
        <w:t>（</w:t>
      </w:r>
      <w:r>
        <w:rPr>
          <w:rFonts w:hint="eastAsia" w:ascii="Times New Roman" w:hAnsi="Times New Roman" w:eastAsia="仿宋_GB2312" w:cs="Times New Roman"/>
          <w:b/>
          <w:bCs/>
          <w:color w:val="auto"/>
          <w:sz w:val="32"/>
          <w:szCs w:val="32"/>
          <w:highlight w:val="none"/>
          <w:lang w:val="en-US" w:eastAsia="zh-CN"/>
        </w:rPr>
        <w:t>二</w:t>
      </w:r>
      <w:r>
        <w:rPr>
          <w:rFonts w:hint="eastAsia" w:ascii="Times New Roman" w:hAnsi="Times New Roman" w:eastAsia="仿宋_GB2312" w:cs="Times New Roman"/>
          <w:b/>
          <w:bCs/>
          <w:color w:val="auto"/>
          <w:sz w:val="32"/>
          <w:szCs w:val="32"/>
          <w:highlight w:val="none"/>
          <w:lang w:eastAsia="zh-CN"/>
        </w:rPr>
        <w:t>）绩效评价指标：</w:t>
      </w:r>
      <w:r>
        <w:rPr>
          <w:rFonts w:hint="eastAsia" w:ascii="Times New Roman" w:hAnsi="Times New Roman" w:eastAsia="仿宋_GB2312" w:cs="Times New Roman"/>
          <w:color w:val="auto"/>
          <w:sz w:val="32"/>
          <w:lang w:val="en-US" w:eastAsia="zh-CN"/>
          <w14:ligatures w14:val="none"/>
        </w:rPr>
        <w:t>实施期内实现经济效益</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color w:val="auto"/>
          <w:sz w:val="32"/>
          <w:lang w:val="en-US" w:eastAsia="zh-CN"/>
          <w14:ligatures w14:val="none"/>
        </w:rPr>
        <w:t>2800万元，应用</w:t>
      </w:r>
      <w:r>
        <w:rPr>
          <w:rFonts w:hint="eastAsia" w:ascii="Times New Roman" w:hAnsi="Times New Roman" w:eastAsia="仿宋_GB2312" w:cs="Times New Roman"/>
          <w:b w:val="0"/>
          <w:color w:val="auto"/>
          <w:kern w:val="2"/>
          <w:sz w:val="32"/>
          <w:szCs w:val="24"/>
          <w:lang w:val="en-US" w:eastAsia="zh-CN" w:bidi="ar-SA"/>
          <w14:ligatures w14:val="none"/>
        </w:rPr>
        <w:t>企业用户</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color w:val="auto"/>
          <w:kern w:val="2"/>
          <w:sz w:val="32"/>
          <w:szCs w:val="24"/>
          <w:lang w:val="en-US" w:eastAsia="zh-CN" w:bidi="ar-SA"/>
          <w14:ligatures w14:val="none"/>
        </w:rPr>
        <w:t>3家</w:t>
      </w:r>
      <w:r>
        <w:rPr>
          <w:rFonts w:hint="eastAsia" w:ascii="Times New Roman" w:hAnsi="Times New Roman" w:eastAsia="仿宋_GB2312" w:cs="Times New Roman"/>
          <w:color w:val="auto"/>
          <w:sz w:val="32"/>
          <w:lang w:val="en-US" w:eastAsia="zh-CN"/>
          <w14:ligatures w14:val="none"/>
        </w:rPr>
        <w:t>。</w:t>
      </w:r>
    </w:p>
    <w:p w14:paraId="50EE0888">
      <w:pPr>
        <w:pStyle w:val="3"/>
        <w:keepNext w:val="0"/>
        <w:keepLines w:val="0"/>
        <w:pageBreakBefore w:val="0"/>
        <w:widowControl/>
        <w:suppressLineNumbers w:val="0"/>
        <w:shd w:val="clear" w:color="auto" w:fill="FFFFFF"/>
        <w:kinsoku/>
        <w:wordWrap/>
        <w:topLinePunct w:val="0"/>
        <w:autoSpaceDE/>
        <w:autoSpaceDN/>
        <w:bidi w:val="0"/>
        <w:spacing w:beforeAutospacing="0" w:afterAutospacing="0" w:line="560" w:lineRule="exact"/>
        <w:ind w:left="0" w:right="0" w:firstLine="640" w:firstLineChars="200"/>
        <w:jc w:val="both"/>
        <w:textAlignment w:val="auto"/>
        <w:rPr>
          <w:rFonts w:hint="eastAsia" w:ascii="黑体" w:hAnsi="黑体" w:eastAsia="黑体" w:cs="黑体"/>
          <w:b w:val="0"/>
          <w:bCs w:val="0"/>
          <w:color w:val="auto"/>
          <w:kern w:val="2"/>
          <w:sz w:val="32"/>
          <w:szCs w:val="32"/>
          <w:lang w:val="en-US" w:eastAsia="zh-CN" w:bidi="ar-SA"/>
        </w:rPr>
      </w:pPr>
      <w:r>
        <w:rPr>
          <w:rFonts w:hint="eastAsia" w:ascii="黑体" w:hAnsi="黑体" w:eastAsia="黑体" w:cs="黑体"/>
          <w:b w:val="0"/>
          <w:bCs w:val="0"/>
          <w:color w:val="auto"/>
          <w:kern w:val="2"/>
          <w:sz w:val="32"/>
          <w:szCs w:val="32"/>
          <w:lang w:val="en-US" w:eastAsia="zh-CN" w:bidi="ar-SA"/>
        </w:rPr>
        <w:t>项目10：</w:t>
      </w:r>
      <w:r>
        <w:rPr>
          <w:rFonts w:hint="default" w:ascii="黑体" w:hAnsi="黑体" w:eastAsia="黑体" w:cs="黑体"/>
          <w:b w:val="0"/>
          <w:bCs w:val="0"/>
          <w:color w:val="auto"/>
          <w:kern w:val="2"/>
          <w:sz w:val="32"/>
          <w:szCs w:val="32"/>
          <w:lang w:val="en-US" w:eastAsia="zh-CN" w:bidi="ar-SA"/>
        </w:rPr>
        <w:t>面向建筑钢结构的AI视觉引导智能焊接机器人系统研发</w:t>
      </w:r>
    </w:p>
    <w:p w14:paraId="320BB257">
      <w:pPr>
        <w:keepNext w:val="0"/>
        <w:keepLines w:val="0"/>
        <w:pageBreakBefore w:val="0"/>
        <w:widowControl w:val="0"/>
        <w:suppressLineNumbers w:val="0"/>
        <w:kinsoku/>
        <w:wordWrap/>
        <w:overflowPunct w:val="0"/>
        <w:topLinePunct w:val="0"/>
        <w:autoSpaceDE/>
        <w:autoSpaceDN/>
        <w:bidi w:val="0"/>
        <w:adjustRightInd/>
        <w:spacing w:beforeAutospacing="0" w:afterAutospacing="0" w:line="560" w:lineRule="exact"/>
        <w:ind w:firstLine="643" w:firstLineChars="200"/>
        <w:jc w:val="both"/>
        <w:textAlignment w:val="auto"/>
        <w:rPr>
          <w:rFonts w:hint="eastAsia" w:ascii="Times New Roman" w:hAnsi="Times New Roman" w:eastAsia="仿宋_GB2312" w:cs="Times New Roman"/>
          <w:b w:val="0"/>
          <w:color w:val="auto"/>
          <w:kern w:val="2"/>
          <w:sz w:val="32"/>
          <w:szCs w:val="24"/>
          <w:lang w:val="en-US" w:eastAsia="zh-CN" w:bidi="ar-SA"/>
          <w14:ligatures w14:val="none"/>
        </w:rPr>
      </w:pPr>
      <w:r>
        <w:rPr>
          <w:rFonts w:hint="eastAsia" w:ascii="Times New Roman" w:hAnsi="Times New Roman" w:eastAsia="仿宋_GB2312" w:cs="Times New Roman"/>
          <w:b/>
          <w:bCs/>
          <w:color w:val="auto"/>
          <w:sz w:val="32"/>
          <w:szCs w:val="32"/>
          <w:highlight w:val="none"/>
          <w:lang w:val="en-US" w:eastAsia="zh-CN"/>
        </w:rPr>
        <w:t>研究内容： </w:t>
      </w:r>
      <w:r>
        <w:rPr>
          <w:rFonts w:hint="default" w:ascii="Times New Roman" w:hAnsi="Times New Roman" w:eastAsia="仿宋_GB2312" w:cs="Times New Roman"/>
          <w:b w:val="0"/>
          <w:color w:val="auto"/>
          <w:kern w:val="2"/>
          <w:sz w:val="32"/>
          <w:szCs w:val="24"/>
          <w:lang w:val="en-US" w:eastAsia="zh-CN" w:bidi="ar-SA"/>
          <w14:ligatures w14:val="none"/>
        </w:rPr>
        <w:t>针对建筑钢结构制造中焊接作业自动化程度低、人工焊接质量一致性差、效率瓶颈突出等问题，研发面向H型钢、箱型梁等典型构件的视觉引导智能焊接机器人系统。集成应用焊缝特征识别与定位技术，实现对钢结构典型节点焊缝的自动识别与轨迹规划；开发适用于多类型焊缝（角焊缝、对接焊缝、坡口焊缝）的机器人自适应焊接工艺参数管理系统，建立焊接工艺知识库，实现焊接参数的智能匹配与动态调整；搭建焊接过程实时监控与质量追溯系统，集成焊缝成形质量在线检测功能，实现焊接质量的闭环管控；开发适应钢结构企业多品种、小批量生产特点的快速示教与离线编程工具，降低机器人部署与应用门槛，并在智能产线上进行示范应用</w:t>
      </w:r>
      <w:r>
        <w:rPr>
          <w:rFonts w:hint="eastAsia" w:ascii="Times New Roman" w:hAnsi="Times New Roman" w:eastAsia="仿宋_GB2312" w:cs="Times New Roman"/>
          <w:b w:val="0"/>
          <w:color w:val="auto"/>
          <w:kern w:val="2"/>
          <w:sz w:val="32"/>
          <w:szCs w:val="24"/>
          <w:lang w:val="en-US" w:eastAsia="zh-CN" w:bidi="ar-SA"/>
          <w14:ligatures w14:val="none"/>
        </w:rPr>
        <w:t>。</w:t>
      </w:r>
    </w:p>
    <w:p w14:paraId="58A2A919">
      <w:pPr>
        <w:keepNext w:val="0"/>
        <w:keepLines w:val="0"/>
        <w:pageBreakBefore w:val="0"/>
        <w:kinsoku/>
        <w:wordWrap/>
        <w:topLinePunct w:val="0"/>
        <w:autoSpaceDE/>
        <w:autoSpaceDN/>
        <w:bidi w:val="0"/>
        <w:spacing w:line="560" w:lineRule="exact"/>
        <w:ind w:firstLine="643" w:firstLineChars="200"/>
        <w:jc w:val="both"/>
        <w:textAlignment w:val="auto"/>
        <w:rPr>
          <w:rFonts w:hint="eastAsia" w:ascii="Times New Roman" w:hAnsi="Times New Roman" w:eastAsia="仿宋_GB2312" w:cs="Times New Roman"/>
          <w:b/>
          <w:bCs/>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lang w:val="en-US" w:eastAsia="zh-CN"/>
        </w:rPr>
        <w:t>考核指标：</w:t>
      </w:r>
    </w:p>
    <w:p w14:paraId="0E782717">
      <w:pPr>
        <w:keepNext w:val="0"/>
        <w:keepLines w:val="0"/>
        <w:pageBreakBefore w:val="0"/>
        <w:widowControl w:val="0"/>
        <w:numPr>
          <w:ilvl w:val="0"/>
          <w:numId w:val="0"/>
        </w:numPr>
        <w:kinsoku/>
        <w:wordWrap/>
        <w:overflowPunct w:val="0"/>
        <w:topLinePunct w:val="0"/>
        <w:autoSpaceDE/>
        <w:autoSpaceDN/>
        <w:bidi w:val="0"/>
        <w:adjustRightInd/>
        <w:spacing w:beforeAutospacing="0" w:afterAutospacing="0" w:line="560" w:lineRule="exact"/>
        <w:ind w:firstLine="643" w:firstLineChars="200"/>
        <w:jc w:val="both"/>
        <w:textAlignment w:val="auto"/>
        <w:rPr>
          <w:rFonts w:hint="default" w:ascii="Times New Roman" w:hAnsi="Times New Roman" w:eastAsia="仿宋_GB2312" w:cs="Times New Roman"/>
          <w:b w:val="0"/>
          <w:color w:val="auto"/>
          <w:kern w:val="2"/>
          <w:sz w:val="32"/>
          <w:szCs w:val="24"/>
          <w:lang w:val="en-US" w:eastAsia="zh-CN" w:bidi="ar-SA"/>
          <w14:ligatures w14:val="none"/>
        </w:rPr>
      </w:pPr>
      <w:r>
        <w:rPr>
          <w:rFonts w:hint="eastAsia" w:ascii="Times New Roman" w:hAnsi="Times New Roman" w:eastAsia="仿宋_GB2312" w:cs="Times New Roman"/>
          <w:b/>
          <w:bCs/>
          <w:color w:val="auto"/>
          <w:sz w:val="32"/>
          <w:szCs w:val="32"/>
          <w:highlight w:val="none"/>
          <w:lang w:val="en-US" w:eastAsia="zh-CN"/>
        </w:rPr>
        <w:t>（一）验收考核指标：</w:t>
      </w:r>
      <w:r>
        <w:rPr>
          <w:rFonts w:hint="default" w:ascii="Times New Roman" w:hAnsi="Times New Roman" w:eastAsia="仿宋_GB2312" w:cs="Times New Roman"/>
          <w:b/>
          <w:bCs/>
          <w:color w:val="auto"/>
          <w:sz w:val="32"/>
          <w:szCs w:val="32"/>
          <w:highlight w:val="none"/>
          <w:lang w:val="en-US" w:eastAsia="zh-CN"/>
        </w:rPr>
        <w:t> </w:t>
      </w:r>
      <w:r>
        <w:rPr>
          <w:rFonts w:hint="default" w:ascii="Times New Roman" w:hAnsi="Times New Roman" w:eastAsia="仿宋_GB2312" w:cs="Times New Roman"/>
          <w:b w:val="0"/>
          <w:color w:val="auto"/>
          <w:kern w:val="2"/>
          <w:sz w:val="32"/>
          <w:szCs w:val="24"/>
          <w:lang w:val="en-US" w:eastAsia="zh-CN" w:bidi="ar-SA"/>
          <w14:ligatures w14:val="none"/>
        </w:rPr>
        <w:t>焊缝特征识别准确率不低于90%，单次焊缝识别与轨迹规划时间不超过30秒；焊接机器人可适应板厚6mm至40mm的钢结构构件焊接，覆盖角焊缝、对接焊缝、坡口焊缝三种常见焊缝类型；焊接速度可达5mm/s至15mm/s，焊缝成形一次合格率不低于95%；焊接工艺知识库覆盖不少于50种典型焊接工况的参数组合；质量追溯系统数据刷新延迟不超过2秒；申请发明专利1项，获得软件著作权2项。</w:t>
      </w:r>
    </w:p>
    <w:p w14:paraId="1269FFD3">
      <w:pPr>
        <w:keepNext w:val="0"/>
        <w:keepLines w:val="0"/>
        <w:pageBreakBefore w:val="0"/>
        <w:widowControl w:val="0"/>
        <w:numPr>
          <w:ilvl w:val="0"/>
          <w:numId w:val="0"/>
        </w:numPr>
        <w:kinsoku/>
        <w:wordWrap/>
        <w:overflowPunct w:val="0"/>
        <w:topLinePunct w:val="0"/>
        <w:autoSpaceDE/>
        <w:autoSpaceDN/>
        <w:bidi w:val="0"/>
        <w:adjustRightInd/>
        <w:spacing w:beforeAutospacing="0" w:afterAutospacing="0" w:line="560" w:lineRule="exact"/>
        <w:ind w:firstLine="643" w:firstLineChars="200"/>
        <w:jc w:val="both"/>
        <w:textAlignment w:val="auto"/>
        <w:rPr>
          <w:rFonts w:hint="eastAsia" w:ascii="Times New Roman" w:hAnsi="Times New Roman" w:eastAsia="仿宋_GB2312" w:cs="Times New Roman"/>
          <w:b w:val="0"/>
          <w:color w:val="auto"/>
          <w:kern w:val="2"/>
          <w:sz w:val="32"/>
          <w:szCs w:val="24"/>
          <w:lang w:val="en-US" w:eastAsia="zh-CN" w:bidi="ar-SA"/>
          <w14:ligatures w14:val="none"/>
        </w:rPr>
      </w:pPr>
      <w:r>
        <w:rPr>
          <w:rFonts w:hint="eastAsia" w:ascii="Times New Roman" w:hAnsi="Times New Roman" w:eastAsia="仿宋_GB2312" w:cs="Times New Roman"/>
          <w:b/>
          <w:bCs/>
          <w:color w:val="auto"/>
          <w:sz w:val="32"/>
          <w:szCs w:val="32"/>
          <w:highlight w:val="none"/>
          <w:lang w:val="en-US" w:eastAsia="zh-CN"/>
        </w:rPr>
        <w:t>（二）绩效评价指标：</w:t>
      </w:r>
      <w:r>
        <w:rPr>
          <w:rFonts w:hint="default" w:ascii="Times New Roman" w:hAnsi="Times New Roman" w:eastAsia="仿宋_GB2312" w:cs="Times New Roman"/>
          <w:b w:val="0"/>
          <w:color w:val="auto"/>
          <w:kern w:val="2"/>
          <w:sz w:val="32"/>
          <w:szCs w:val="24"/>
          <w:lang w:val="en-US" w:eastAsia="zh-CN" w:bidi="ar-SA"/>
          <w14:ligatures w14:val="none"/>
        </w:rPr>
        <w:t>实施期内研制视觉引导智能焊接机器人1套，在智能生产线上实现示范应用；实施期内直接经济效益</w:t>
      </w:r>
      <w:r>
        <w:rPr>
          <w:rFonts w:hint="eastAsia" w:ascii="Times New Roman" w:hAnsi="Times New Roman" w:eastAsia="仿宋_GB2312" w:cs="Times New Roman"/>
          <w:b w:val="0"/>
          <w:bCs w:val="0"/>
          <w:color w:val="auto"/>
          <w:sz w:val="32"/>
          <w:szCs w:val="32"/>
          <w:highlight w:val="none"/>
          <w:lang w:val="en-US" w:eastAsia="zh-CN"/>
        </w:rPr>
        <w:t>≥</w:t>
      </w:r>
      <w:r>
        <w:rPr>
          <w:rFonts w:hint="eastAsia" w:ascii="Times New Roman" w:hAnsi="Times New Roman" w:eastAsia="仿宋_GB2312" w:cs="Times New Roman"/>
          <w:b w:val="0"/>
          <w:color w:val="auto"/>
          <w:kern w:val="2"/>
          <w:sz w:val="32"/>
          <w:szCs w:val="24"/>
          <w:lang w:val="en-US" w:eastAsia="zh-CN" w:bidi="ar-SA"/>
          <w14:ligatures w14:val="none"/>
        </w:rPr>
        <w:t>5</w:t>
      </w:r>
      <w:r>
        <w:rPr>
          <w:rFonts w:hint="default" w:ascii="Times New Roman" w:hAnsi="Times New Roman" w:eastAsia="仿宋_GB2312" w:cs="Times New Roman"/>
          <w:b w:val="0"/>
          <w:color w:val="auto"/>
          <w:kern w:val="2"/>
          <w:sz w:val="32"/>
          <w:szCs w:val="24"/>
          <w:lang w:val="en-US" w:eastAsia="zh-CN" w:bidi="ar-SA"/>
          <w14:ligatures w14:val="none"/>
        </w:rPr>
        <w:t>00万元；培养智能制造技术人才</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color w:val="auto"/>
          <w:kern w:val="2"/>
          <w:sz w:val="32"/>
          <w:szCs w:val="24"/>
          <w:lang w:val="en-US" w:eastAsia="zh-CN" w:bidi="ar-SA"/>
          <w14:ligatures w14:val="none"/>
        </w:rPr>
        <w:t>5人，新增就业</w:t>
      </w:r>
      <w:r>
        <w:rPr>
          <w:rFonts w:hint="eastAsia"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b w:val="0"/>
          <w:color w:val="auto"/>
          <w:kern w:val="2"/>
          <w:sz w:val="32"/>
          <w:szCs w:val="24"/>
          <w:lang w:val="en-US" w:eastAsia="zh-CN" w:bidi="ar-SA"/>
          <w14:ligatures w14:val="none"/>
        </w:rPr>
        <w:t>8人</w:t>
      </w:r>
      <w:r>
        <w:rPr>
          <w:rFonts w:hint="eastAsia" w:ascii="Times New Roman" w:hAnsi="Times New Roman" w:eastAsia="仿宋_GB2312" w:cs="Times New Roman"/>
          <w:b w:val="0"/>
          <w:color w:val="auto"/>
          <w:kern w:val="2"/>
          <w:sz w:val="32"/>
          <w:szCs w:val="24"/>
          <w:lang w:val="en-US" w:eastAsia="zh-CN" w:bidi="ar-SA"/>
          <w14:ligatures w14:val="none"/>
        </w:rPr>
        <w:t>。</w:t>
      </w:r>
    </w:p>
    <w:p w14:paraId="12747D8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宋体" w:eastAsia="黑体" w:cs="黑体"/>
          <w:b w:val="0"/>
          <w:i w:val="0"/>
          <w:caps w:val="0"/>
          <w:color w:val="auto"/>
          <w:spacing w:val="0"/>
          <w:kern w:val="0"/>
          <w:sz w:val="32"/>
          <w:szCs w:val="32"/>
          <w:shd w:val="clear" w:color="auto" w:fill="FFFFFF"/>
          <w:lang w:val="en-US" w:eastAsia="zh-CN"/>
        </w:rPr>
      </w:pPr>
      <w:r>
        <w:rPr>
          <w:rFonts w:hint="eastAsia" w:ascii="黑体" w:hAnsi="宋体" w:eastAsia="黑体" w:cs="黑体"/>
          <w:b w:val="0"/>
          <w:i w:val="0"/>
          <w:caps w:val="0"/>
          <w:color w:val="auto"/>
          <w:spacing w:val="0"/>
          <w:kern w:val="0"/>
          <w:sz w:val="32"/>
          <w:szCs w:val="32"/>
          <w:shd w:val="clear" w:color="auto" w:fill="FFFFFF"/>
          <w:lang w:val="en-US" w:eastAsia="zh-CN"/>
        </w:rPr>
        <w:t>三、申报条件</w:t>
      </w:r>
    </w:p>
    <w:p w14:paraId="72E3E5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1.在滕州</w:t>
      </w:r>
      <w:r>
        <w:rPr>
          <w:rFonts w:hint="eastAsia" w:ascii="Times New Roman" w:hAnsi="Times New Roman" w:eastAsia="仿宋_GB2312" w:cs="Times New Roman"/>
          <w:color w:val="auto"/>
          <w:sz w:val="32"/>
          <w:szCs w:val="32"/>
        </w:rPr>
        <w:t>市境内注册</w:t>
      </w:r>
      <w:r>
        <w:rPr>
          <w:rFonts w:hint="eastAsia" w:ascii="Times New Roman" w:hAnsi="Times New Roman" w:eastAsia="仿宋_GB2312" w:cs="Times New Roman"/>
          <w:color w:val="auto"/>
          <w:sz w:val="32"/>
          <w:szCs w:val="32"/>
          <w:lang w:eastAsia="zh-CN"/>
        </w:rPr>
        <w:t>满</w:t>
      </w:r>
      <w:r>
        <w:rPr>
          <w:rFonts w:hint="eastAsia" w:ascii="Times New Roman" w:hAnsi="Times New Roman" w:eastAsia="仿宋_GB2312" w:cs="Times New Roman"/>
          <w:color w:val="auto"/>
          <w:sz w:val="32"/>
          <w:szCs w:val="32"/>
          <w:lang w:val="en-US" w:eastAsia="zh-CN"/>
        </w:rPr>
        <w:t>1年</w:t>
      </w:r>
      <w:r>
        <w:rPr>
          <w:rFonts w:hint="eastAsia" w:ascii="Times New Roman" w:hAnsi="Times New Roman" w:eastAsia="仿宋_GB2312" w:cs="Times New Roman"/>
          <w:color w:val="auto"/>
          <w:sz w:val="32"/>
          <w:szCs w:val="32"/>
          <w:lang w:eastAsia="zh-CN"/>
        </w:rPr>
        <w:t>、具有独立法人资格</w:t>
      </w:r>
      <w:r>
        <w:rPr>
          <w:rFonts w:hint="eastAsia" w:ascii="Times New Roman" w:hAnsi="Times New Roman" w:eastAsia="仿宋_GB2312" w:cs="Times New Roman"/>
          <w:color w:val="auto"/>
          <w:sz w:val="32"/>
          <w:szCs w:val="32"/>
        </w:rPr>
        <w:t>企业，注册资金不低于申报资助资金</w:t>
      </w:r>
      <w:r>
        <w:rPr>
          <w:rFonts w:hint="eastAsia" w:ascii="Times New Roman" w:hAnsi="Times New Roman" w:eastAsia="仿宋_GB2312" w:cs="Times New Roman"/>
          <w:color w:val="auto"/>
          <w:sz w:val="32"/>
          <w:szCs w:val="32"/>
          <w:lang w:eastAsia="zh-CN"/>
        </w:rPr>
        <w:t>。</w:t>
      </w:r>
    </w:p>
    <w:p w14:paraId="16309117">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kern w:val="2"/>
          <w:sz w:val="32"/>
          <w:szCs w:val="24"/>
          <w:lang w:val="en-US" w:eastAsia="zh-CN" w:bidi="ar-SA"/>
        </w:rPr>
      </w:pPr>
      <w:r>
        <w:rPr>
          <w:rFonts w:hint="eastAsia" w:ascii="Times New Roman" w:hAnsi="Times New Roman" w:eastAsia="仿宋_GB2312" w:cs="Times New Roman"/>
          <w:color w:val="auto"/>
          <w:kern w:val="2"/>
          <w:sz w:val="32"/>
          <w:szCs w:val="24"/>
          <w:lang w:val="en-US" w:eastAsia="zh-CN" w:bidi="ar-SA"/>
        </w:rPr>
        <w:t>2.申报项目应符合指南研究内容，鼓励申报单位与高校、科研单位、新型研发机构开展协同攻关；企业经营良好，纳税信用评价较好。</w:t>
      </w:r>
    </w:p>
    <w:p w14:paraId="3627A93B">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kern w:val="2"/>
          <w:sz w:val="32"/>
          <w:szCs w:val="24"/>
          <w:lang w:val="en-US" w:eastAsia="zh-CN" w:bidi="ar-SA"/>
        </w:rPr>
      </w:pPr>
      <w:r>
        <w:rPr>
          <w:rFonts w:hint="eastAsia" w:ascii="Times New Roman" w:hAnsi="Times New Roman" w:eastAsia="仿宋_GB2312" w:cs="Times New Roman"/>
          <w:color w:val="auto"/>
          <w:kern w:val="2"/>
          <w:sz w:val="32"/>
          <w:szCs w:val="24"/>
          <w:lang w:val="en-US" w:eastAsia="zh-CN" w:bidi="ar-SA"/>
        </w:rPr>
        <w:t>3.申报单位自筹经费与申请资金不低于4:1比例；财务管理规范，具有规范的财务管理制度和专业的财务管理人员。若项目市拨财政资金未达到申请资金额度，项目申报单位应承诺通过自筹解决差额部分。</w:t>
      </w:r>
    </w:p>
    <w:p w14:paraId="533DBF0D">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kern w:val="2"/>
          <w:sz w:val="32"/>
          <w:szCs w:val="24"/>
          <w:lang w:val="en-US" w:eastAsia="zh-CN" w:bidi="ar-SA"/>
        </w:rPr>
      </w:pPr>
      <w:r>
        <w:rPr>
          <w:rFonts w:hint="eastAsia" w:ascii="Times New Roman" w:hAnsi="Times New Roman" w:eastAsia="仿宋_GB2312" w:cs="Times New Roman"/>
          <w:color w:val="auto"/>
          <w:kern w:val="2"/>
          <w:sz w:val="32"/>
          <w:szCs w:val="24"/>
          <w:lang w:val="en-US" w:eastAsia="zh-CN" w:bidi="ar-SA"/>
        </w:rPr>
        <w:t>4.合作单位应具备独立法人资格。牵头申报单位须对合作单位的申报资格进行审核并负责，与所有合作单位签署联合协议</w:t>
      </w:r>
    </w:p>
    <w:p w14:paraId="247168EF">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kern w:val="2"/>
          <w:sz w:val="32"/>
          <w:szCs w:val="24"/>
          <w:lang w:val="en-US" w:eastAsia="zh-CN" w:bidi="ar-SA"/>
        </w:rPr>
      </w:pPr>
      <w:r>
        <w:rPr>
          <w:rFonts w:hint="eastAsia" w:ascii="Times New Roman" w:hAnsi="Times New Roman" w:eastAsia="仿宋_GB2312" w:cs="Times New Roman"/>
          <w:color w:val="auto"/>
          <w:kern w:val="2"/>
          <w:sz w:val="32"/>
          <w:szCs w:val="24"/>
          <w:lang w:val="en-US" w:eastAsia="zh-CN" w:bidi="ar-SA"/>
        </w:rPr>
        <w:t>5.项目负责人原则上为项目研究思路的主要提出者和实际主持研究的科研人员，须具有较高的科研水平和创新能力，并能在任务期内主持完成项目研究工作。</w:t>
      </w:r>
    </w:p>
    <w:p w14:paraId="04D0393F">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黑体" w:hAnsi="宋体" w:eastAsia="黑体" w:cs="黑体"/>
          <w:b w:val="0"/>
          <w:i w:val="0"/>
          <w:caps w:val="0"/>
          <w:color w:val="auto"/>
          <w:spacing w:val="0"/>
          <w:kern w:val="0"/>
          <w:sz w:val="32"/>
          <w:szCs w:val="32"/>
          <w:shd w:val="clear" w:color="auto" w:fill="FFFFFF"/>
          <w:lang w:val="en-US" w:eastAsia="zh-CN"/>
        </w:rPr>
      </w:pPr>
      <w:r>
        <w:rPr>
          <w:rFonts w:hint="eastAsia" w:ascii="黑体" w:hAnsi="宋体" w:eastAsia="黑体" w:cs="黑体"/>
          <w:b w:val="0"/>
          <w:i w:val="0"/>
          <w:caps w:val="0"/>
          <w:color w:val="auto"/>
          <w:spacing w:val="0"/>
          <w:kern w:val="0"/>
          <w:sz w:val="32"/>
          <w:szCs w:val="32"/>
          <w:shd w:val="clear" w:color="auto" w:fill="FFFFFF"/>
          <w:lang w:val="en-US" w:eastAsia="zh-CN"/>
        </w:rPr>
        <w:t>四、申报材料</w:t>
      </w:r>
    </w:p>
    <w:p w14:paraId="034DBA0A">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1</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eastAsia="zh-CN"/>
        </w:rPr>
        <w:t>《滕州市自主创新及成果转化计划项目申报书》</w:t>
      </w:r>
      <w:r>
        <w:rPr>
          <w:rFonts w:hint="eastAsia" w:ascii="Times New Roman" w:hAnsi="Times New Roman" w:eastAsia="仿宋_GB2312" w:cs="Times New Roman"/>
          <w:color w:val="auto"/>
          <w:sz w:val="32"/>
          <w:lang w:val="en-US" w:eastAsia="zh-CN"/>
        </w:rPr>
        <w:t>；</w:t>
      </w:r>
    </w:p>
    <w:p w14:paraId="6D03101B">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2</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eastAsia="zh-CN"/>
        </w:rPr>
        <w:t>有关附件。包括：</w:t>
      </w:r>
      <w:r>
        <w:rPr>
          <w:rFonts w:hint="eastAsia" w:ascii="仿宋_GB2312" w:hAnsi="Calibri" w:eastAsia="仿宋_GB2312" w:cs="仿宋_GB2312"/>
          <w:b w:val="0"/>
          <w:bCs w:val="0"/>
          <w:i w:val="0"/>
          <w:iCs w:val="0"/>
          <w:caps w:val="0"/>
          <w:color w:val="auto"/>
          <w:spacing w:val="0"/>
          <w:sz w:val="32"/>
          <w:szCs w:val="32"/>
          <w:shd w:val="clear" w:color="auto" w:fill="FFFFFF"/>
        </w:rPr>
        <w:t>企业法人营业执照</w:t>
      </w:r>
      <w:r>
        <w:rPr>
          <w:rFonts w:hint="eastAsia" w:ascii="仿宋_GB2312" w:hAnsi="Calibri" w:eastAsia="仿宋_GB2312" w:cs="仿宋_GB2312"/>
          <w:b w:val="0"/>
          <w:bCs w:val="0"/>
          <w:i w:val="0"/>
          <w:iCs w:val="0"/>
          <w:caps w:val="0"/>
          <w:color w:val="auto"/>
          <w:spacing w:val="0"/>
          <w:sz w:val="32"/>
          <w:szCs w:val="32"/>
          <w:shd w:val="clear" w:color="auto" w:fill="FFFFFF"/>
          <w:lang w:eastAsia="zh-CN"/>
        </w:rPr>
        <w:t>、</w:t>
      </w:r>
      <w:r>
        <w:rPr>
          <w:rFonts w:hint="default" w:ascii="Times New Roman" w:hAnsi="Times New Roman" w:eastAsia="仿宋_GB2312" w:cs="Times New Roman"/>
          <w:color w:val="auto"/>
          <w:sz w:val="32"/>
          <w:lang w:val="en-US" w:eastAsia="zh-CN"/>
        </w:rPr>
        <w:t>相关</w:t>
      </w:r>
      <w:r>
        <w:rPr>
          <w:rFonts w:hint="eastAsia" w:ascii="Times New Roman" w:hAnsi="Times New Roman" w:eastAsia="仿宋_GB2312" w:cs="Times New Roman"/>
          <w:color w:val="auto"/>
          <w:sz w:val="32"/>
          <w:lang w:val="en-US" w:eastAsia="zh-CN"/>
        </w:rPr>
        <w:t>资质</w:t>
      </w:r>
      <w:r>
        <w:rPr>
          <w:rFonts w:hint="default" w:ascii="Times New Roman" w:hAnsi="Times New Roman" w:eastAsia="仿宋_GB2312" w:cs="Times New Roman"/>
          <w:color w:val="auto"/>
          <w:sz w:val="32"/>
          <w:lang w:val="en-US" w:eastAsia="zh-CN"/>
        </w:rPr>
        <w:t>证明</w:t>
      </w:r>
      <w:r>
        <w:rPr>
          <w:rFonts w:hint="eastAsia" w:ascii="Times New Roman" w:hAnsi="Times New Roman" w:eastAsia="仿宋_GB2312" w:cs="Times New Roman"/>
          <w:color w:val="auto"/>
          <w:sz w:val="32"/>
          <w:lang w:val="en-US" w:eastAsia="zh-CN"/>
        </w:rPr>
        <w:t>材料、与</w:t>
      </w:r>
      <w:r>
        <w:rPr>
          <w:rFonts w:hint="default" w:ascii="Times New Roman" w:hAnsi="Times New Roman" w:eastAsia="仿宋_GB2312" w:cs="Times New Roman"/>
          <w:color w:val="auto"/>
          <w:sz w:val="32"/>
          <w:lang w:val="en-US" w:eastAsia="zh-CN"/>
        </w:rPr>
        <w:t>本项目直接相关的证明文件</w:t>
      </w:r>
      <w:r>
        <w:rPr>
          <w:rFonts w:hint="eastAsia" w:ascii="Times New Roman" w:hAnsi="Times New Roman" w:eastAsia="仿宋_GB2312" w:cs="Times New Roman"/>
          <w:color w:val="auto"/>
          <w:sz w:val="32"/>
          <w:lang w:val="en-US" w:eastAsia="zh-CN"/>
        </w:rPr>
        <w:t>等；</w:t>
      </w:r>
    </w:p>
    <w:p w14:paraId="16486659">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3</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eastAsia="zh-CN"/>
        </w:rPr>
        <w:t>企业上年度审计报告（包括资产负债表、损益表）</w:t>
      </w:r>
      <w:r>
        <w:rPr>
          <w:rFonts w:hint="eastAsia" w:ascii="Times New Roman" w:hAnsi="Times New Roman" w:eastAsia="仿宋_GB2312" w:cs="Times New Roman"/>
          <w:color w:val="auto"/>
          <w:sz w:val="32"/>
          <w:lang w:val="en-US" w:eastAsia="zh-CN"/>
        </w:rPr>
        <w:t>。</w:t>
      </w:r>
    </w:p>
    <w:p w14:paraId="1D29A8B2">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黑体" w:hAnsi="宋体" w:eastAsia="黑体" w:cs="黑体"/>
          <w:b w:val="0"/>
          <w:i w:val="0"/>
          <w:caps w:val="0"/>
          <w:color w:val="auto"/>
          <w:spacing w:val="0"/>
          <w:kern w:val="0"/>
          <w:sz w:val="32"/>
          <w:szCs w:val="32"/>
          <w:shd w:val="clear" w:color="auto" w:fill="FFFFFF"/>
          <w:lang w:val="en-US" w:eastAsia="zh-CN"/>
        </w:rPr>
      </w:pPr>
      <w:r>
        <w:rPr>
          <w:rFonts w:hint="eastAsia" w:ascii="黑体" w:hAnsi="宋体" w:eastAsia="黑体" w:cs="黑体"/>
          <w:b w:val="0"/>
          <w:i w:val="0"/>
          <w:caps w:val="0"/>
          <w:color w:val="auto"/>
          <w:spacing w:val="0"/>
          <w:kern w:val="0"/>
          <w:sz w:val="32"/>
          <w:szCs w:val="32"/>
          <w:shd w:val="clear" w:color="auto" w:fill="FFFFFF"/>
          <w:lang w:val="en-US" w:eastAsia="zh-CN"/>
        </w:rPr>
        <w:t>五、申报方式</w:t>
      </w:r>
    </w:p>
    <w:p w14:paraId="5EF6225D">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default"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lang w:val="en-US" w:eastAsia="zh-CN"/>
        </w:rPr>
        <w:t>申报材料，胶装</w:t>
      </w:r>
      <w:r>
        <w:rPr>
          <w:rFonts w:hint="default" w:ascii="Times New Roman" w:hAnsi="Times New Roman" w:eastAsia="仿宋_GB2312" w:cs="Times New Roman"/>
          <w:color w:val="auto"/>
          <w:sz w:val="32"/>
          <w:lang w:val="en-US" w:eastAsia="zh-CN"/>
        </w:rPr>
        <w:t>一式两份</w:t>
      </w:r>
      <w:r>
        <w:rPr>
          <w:rFonts w:hint="eastAsia"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lang w:val="en-US" w:eastAsia="zh-CN"/>
        </w:rPr>
        <w:t>加盖</w:t>
      </w:r>
      <w:r>
        <w:rPr>
          <w:rFonts w:hint="eastAsia" w:ascii="Times New Roman" w:hAnsi="Times New Roman" w:eastAsia="仿宋_GB2312" w:cs="Times New Roman"/>
          <w:color w:val="auto"/>
          <w:sz w:val="32"/>
          <w:lang w:val="en-US" w:eastAsia="zh-CN"/>
        </w:rPr>
        <w:t>申报单位</w:t>
      </w:r>
      <w:r>
        <w:rPr>
          <w:rFonts w:hint="default" w:ascii="Times New Roman" w:hAnsi="Times New Roman" w:eastAsia="仿宋_GB2312" w:cs="Times New Roman"/>
          <w:color w:val="auto"/>
          <w:sz w:val="32"/>
          <w:lang w:val="en-US" w:eastAsia="zh-CN"/>
        </w:rPr>
        <w:t>公章后上报，同时上报电子版。</w:t>
      </w:r>
    </w:p>
    <w:p w14:paraId="4F141270">
      <w:pPr>
        <w:keepNext w:val="0"/>
        <w:keepLines w:val="0"/>
        <w:pageBreakBefore w:val="0"/>
        <w:widowControl/>
        <w:suppressLineNumbers w:val="0"/>
        <w:kinsoku/>
        <w:wordWrap/>
        <w:topLinePunct w:val="0"/>
        <w:autoSpaceDE/>
        <w:autoSpaceDN/>
        <w:bidi w:val="0"/>
        <w:snapToGrid/>
        <w:spacing w:beforeAutospacing="0" w:afterAutospacing="0" w:line="520" w:lineRule="exact"/>
        <w:ind w:firstLine="640" w:firstLineChars="200"/>
        <w:jc w:val="both"/>
        <w:textAlignment w:val="auto"/>
        <w:rPr>
          <w:rFonts w:hint="eastAsia"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lang w:val="en-US" w:eastAsia="zh-CN"/>
        </w:rPr>
        <w:t>报送地点：</w:t>
      </w:r>
      <w:r>
        <w:rPr>
          <w:rFonts w:hint="default" w:ascii="Times New Roman" w:hAnsi="Times New Roman" w:eastAsia="仿宋_GB2312" w:cs="Times New Roman"/>
          <w:color w:val="auto"/>
          <w:sz w:val="32"/>
          <w:lang w:val="en-US" w:eastAsia="zh-CN"/>
        </w:rPr>
        <w:t>市科技局</w:t>
      </w:r>
      <w:r>
        <w:rPr>
          <w:rFonts w:hint="eastAsia" w:ascii="Times New Roman" w:hAnsi="Times New Roman" w:eastAsia="仿宋_GB2312" w:cs="Times New Roman"/>
          <w:color w:val="auto"/>
          <w:sz w:val="32"/>
          <w:lang w:val="en-US" w:eastAsia="zh-CN"/>
        </w:rPr>
        <w:t>政策法规与发展规划室</w:t>
      </w:r>
      <w:r>
        <w:rPr>
          <w:rFonts w:hint="default" w:ascii="Times New Roman" w:hAnsi="Times New Roman" w:eastAsia="仿宋_GB2312" w:cs="Times New Roman"/>
          <w:color w:val="auto"/>
          <w:sz w:val="32"/>
          <w:lang w:val="en-US" w:eastAsia="zh-CN"/>
        </w:rPr>
        <w:t>（</w:t>
      </w:r>
      <w:r>
        <w:rPr>
          <w:rFonts w:hint="eastAsia" w:ascii="Times New Roman" w:hAnsi="Times New Roman" w:eastAsia="仿宋_GB2312" w:cs="Times New Roman"/>
          <w:color w:val="auto"/>
          <w:sz w:val="32"/>
          <w:lang w:val="en-US" w:eastAsia="zh-CN"/>
        </w:rPr>
        <w:t>政务中心A423-2房间</w:t>
      </w:r>
      <w:r>
        <w:rPr>
          <w:rFonts w:hint="default" w:ascii="Times New Roman" w:hAnsi="Times New Roman" w:eastAsia="仿宋_GB2312" w:cs="Times New Roman"/>
          <w:color w:val="auto"/>
          <w:sz w:val="32"/>
          <w:lang w:val="en-US" w:eastAsia="zh-CN"/>
        </w:rPr>
        <w:t>）</w:t>
      </w:r>
    </w:p>
    <w:p w14:paraId="79496B84">
      <w:pPr>
        <w:keepNext/>
        <w:keepLines w:val="0"/>
        <w:pageBreakBefore w:val="0"/>
        <w:widowControl w:val="0"/>
        <w:suppressAutoHyphens/>
        <w:kinsoku/>
        <w:wordWrap/>
        <w:overflowPunct w:val="0"/>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Times New Roman" w:hAnsi="Times New Roman" w:eastAsia="仿宋_GB2312" w:cs="Times New Roman"/>
          <w:color w:val="auto"/>
          <w:sz w:val="32"/>
          <w:lang w:val="en-US" w:eastAsia="zh-CN"/>
        </w:rPr>
      </w:pPr>
      <w:r>
        <w:rPr>
          <w:rFonts w:hint="default" w:ascii="Times New Roman" w:hAnsi="Times New Roman" w:eastAsia="仿宋_GB2312" w:cs="Times New Roman"/>
          <w:color w:val="auto"/>
          <w:sz w:val="32"/>
          <w:lang w:val="en-US" w:eastAsia="zh-CN"/>
        </w:rPr>
        <w:t>联系电话：5888</w:t>
      </w:r>
      <w:r>
        <w:rPr>
          <w:rFonts w:hint="eastAsia" w:ascii="Times New Roman" w:hAnsi="Times New Roman" w:eastAsia="仿宋_GB2312" w:cs="Times New Roman"/>
          <w:color w:val="auto"/>
          <w:sz w:val="32"/>
          <w:lang w:val="en-US" w:eastAsia="zh-CN"/>
        </w:rPr>
        <w:t>616</w:t>
      </w:r>
    </w:p>
    <w:p w14:paraId="6A59A87F">
      <w:pPr>
        <w:keepNext/>
        <w:keepLines w:val="0"/>
        <w:pageBreakBefore w:val="0"/>
        <w:widowControl w:val="0"/>
        <w:suppressAutoHyphens/>
        <w:kinsoku/>
        <w:wordWrap/>
        <w:overflowPunct w:val="0"/>
        <w:topLinePunct w:val="0"/>
        <w:autoSpaceDE/>
        <w:autoSpaceDN/>
        <w:bidi w:val="0"/>
        <w:adjustRightInd/>
        <w:snapToGrid/>
        <w:spacing w:beforeAutospacing="0" w:afterAutospacing="0" w:line="520" w:lineRule="exact"/>
        <w:ind w:left="0" w:leftChars="0" w:firstLine="640" w:firstLineChars="200"/>
        <w:jc w:val="both"/>
        <w:textAlignment w:val="auto"/>
        <w:rPr>
          <w:rFonts w:hint="eastAsia" w:ascii="Times New Roman" w:hAnsi="Times New Roman" w:eastAsia="仿宋_GB2312" w:cs="Times New Roman"/>
          <w:color w:val="auto"/>
          <w:sz w:val="32"/>
          <w:lang w:val="en-US" w:eastAsia="zh-CN"/>
        </w:rPr>
        <w:sectPr>
          <w:pgSz w:w="11906" w:h="16838"/>
          <w:pgMar w:top="1587" w:right="1587" w:bottom="1587" w:left="1587" w:header="851" w:footer="992" w:gutter="0"/>
          <w:pgNumType w:fmt="decimal"/>
          <w:cols w:space="425" w:num="1"/>
          <w:docGrid w:type="lines" w:linePitch="312" w:charSpace="0"/>
        </w:sectPr>
      </w:pPr>
      <w:r>
        <w:rPr>
          <w:rFonts w:hint="default" w:ascii="Times New Roman" w:hAnsi="Times New Roman" w:eastAsia="仿宋_GB2312" w:cs="Times New Roman"/>
          <w:color w:val="auto"/>
          <w:sz w:val="32"/>
          <w:lang w:val="en-US" w:eastAsia="zh-CN"/>
        </w:rPr>
        <w:t>电子邮箱：</w:t>
      </w:r>
      <w:r>
        <w:rPr>
          <w:rFonts w:hint="eastAsia" w:ascii="Times New Roman" w:hAnsi="Times New Roman" w:eastAsia="仿宋_GB2312" w:cs="Times New Roman"/>
          <w:color w:val="auto"/>
          <w:sz w:val="32"/>
          <w:lang w:val="en-US" w:eastAsia="zh-CN"/>
        </w:rPr>
        <w:fldChar w:fldCharType="begin"/>
      </w:r>
      <w:r>
        <w:rPr>
          <w:rFonts w:hint="eastAsia" w:ascii="Times New Roman" w:hAnsi="Times New Roman" w:eastAsia="仿宋_GB2312" w:cs="Times New Roman"/>
          <w:color w:val="auto"/>
          <w:sz w:val="32"/>
          <w:lang w:val="en-US" w:eastAsia="zh-CN"/>
        </w:rPr>
        <w:instrText xml:space="preserve"> HYPERLINK "mailto:tzkjzh@163.com" </w:instrText>
      </w:r>
      <w:r>
        <w:rPr>
          <w:rFonts w:hint="eastAsia" w:ascii="Times New Roman" w:hAnsi="Times New Roman" w:eastAsia="仿宋_GB2312" w:cs="Times New Roman"/>
          <w:color w:val="auto"/>
          <w:sz w:val="32"/>
          <w:lang w:val="en-US" w:eastAsia="zh-CN"/>
        </w:rPr>
        <w:fldChar w:fldCharType="separate"/>
      </w:r>
      <w:r>
        <w:rPr>
          <w:rFonts w:hint="default" w:ascii="Times New Roman" w:hAnsi="Times New Roman" w:eastAsia="仿宋_GB2312" w:cs="Times New Roman"/>
          <w:color w:val="auto"/>
          <w:sz w:val="32"/>
          <w:lang w:val="en-US" w:eastAsia="zh-CN"/>
        </w:rPr>
        <w:t>tzkj</w:t>
      </w:r>
      <w:r>
        <w:rPr>
          <w:rFonts w:hint="eastAsia" w:ascii="Times New Roman" w:hAnsi="Times New Roman" w:eastAsia="仿宋_GB2312" w:cs="Times New Roman"/>
          <w:color w:val="auto"/>
          <w:sz w:val="32"/>
          <w:lang w:val="en-US" w:eastAsia="zh-CN"/>
        </w:rPr>
        <w:t>zfs@</w:t>
      </w:r>
      <w:r>
        <w:rPr>
          <w:rFonts w:hint="default" w:ascii="Times New Roman" w:hAnsi="Times New Roman" w:eastAsia="仿宋_GB2312" w:cs="Times New Roman"/>
          <w:color w:val="auto"/>
          <w:sz w:val="32"/>
          <w:lang w:val="en-US" w:eastAsia="zh-CN"/>
        </w:rPr>
        <w:t>163.com</w:t>
      </w:r>
      <w:r>
        <w:rPr>
          <w:rFonts w:hint="eastAsia" w:ascii="Times New Roman" w:hAnsi="Times New Roman" w:eastAsia="仿宋_GB2312" w:cs="Times New Roman"/>
          <w:color w:val="auto"/>
          <w:sz w:val="32"/>
          <w:lang w:val="en-US" w:eastAsia="zh-CN"/>
        </w:rPr>
        <w:fldChar w:fldCharType="end"/>
      </w:r>
    </w:p>
    <w:p w14:paraId="546D1C46">
      <w:pPr>
        <w:keepNext w:val="0"/>
        <w:keepLines w:val="0"/>
        <w:pageBreakBefore w:val="0"/>
        <w:widowControl/>
        <w:kinsoku/>
        <w:wordWrap/>
        <w:overflowPunct/>
        <w:topLinePunct w:val="0"/>
        <w:autoSpaceDE/>
        <w:autoSpaceDN/>
        <w:bidi w:val="0"/>
        <w:adjustRightInd w:val="0"/>
        <w:snapToGrid/>
        <w:spacing w:beforeAutospacing="0" w:afterAutospacing="0" w:line="560" w:lineRule="exact"/>
        <w:jc w:val="center"/>
        <w:textAlignment w:val="auto"/>
        <w:rPr>
          <w:rFonts w:hint="eastAsia" w:ascii="黑体" w:hAnsi="宋体" w:eastAsia="黑体" w:cs="宋体"/>
          <w:bCs/>
          <w:color w:val="auto"/>
          <w:kern w:val="0"/>
          <w:sz w:val="44"/>
          <w:szCs w:val="44"/>
          <w:lang w:val="en-US" w:eastAsia="zh-CN"/>
        </w:rPr>
      </w:pPr>
      <w:r>
        <w:rPr>
          <w:rFonts w:hint="eastAsia" w:ascii="黑体" w:hAnsi="宋体" w:eastAsia="黑体" w:cs="宋体"/>
          <w:bCs/>
          <w:color w:val="auto"/>
          <w:kern w:val="0"/>
          <w:sz w:val="44"/>
          <w:szCs w:val="44"/>
          <w:lang w:val="en-US" w:eastAsia="zh-CN"/>
        </w:rPr>
        <w:t>滕州市科技型企业培育计划申报指南</w:t>
      </w:r>
    </w:p>
    <w:p w14:paraId="18C7EB5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880" w:firstLineChars="200"/>
        <w:jc w:val="center"/>
        <w:textAlignment w:val="auto"/>
        <w:rPr>
          <w:rFonts w:ascii="黑体" w:hAnsi="宋体" w:eastAsia="黑体" w:cs="黑体"/>
          <w:color w:val="auto"/>
          <w:sz w:val="44"/>
          <w:szCs w:val="44"/>
        </w:rPr>
      </w:pPr>
    </w:p>
    <w:p w14:paraId="631D472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Calibri" w:hAnsi="Calibri" w:cs="Calibri"/>
          <w:color w:val="auto"/>
          <w:sz w:val="21"/>
          <w:szCs w:val="21"/>
        </w:rPr>
      </w:pPr>
      <w:r>
        <w:rPr>
          <w:rFonts w:hint="eastAsia" w:ascii="黑体" w:hAnsi="宋体" w:eastAsia="黑体" w:cs="黑体"/>
          <w:color w:val="auto"/>
          <w:sz w:val="30"/>
          <w:szCs w:val="30"/>
        </w:rPr>
        <w:t>一、计划概述</w:t>
      </w:r>
    </w:p>
    <w:p w14:paraId="4AF4DBB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auto"/>
          <w:sz w:val="32"/>
          <w:szCs w:val="32"/>
        </w:rPr>
      </w:pPr>
      <w:r>
        <w:rPr>
          <w:rFonts w:ascii="仿宋_GB2312" w:hAnsi="Calibri" w:eastAsia="仿宋_GB2312" w:cs="仿宋_GB2312"/>
          <w:b w:val="0"/>
          <w:bCs w:val="0"/>
          <w:color w:val="auto"/>
          <w:sz w:val="32"/>
          <w:szCs w:val="32"/>
        </w:rPr>
        <w:t>科技型企业培育计划主要引导</w:t>
      </w:r>
      <w:r>
        <w:rPr>
          <w:rFonts w:hint="eastAsia" w:ascii="仿宋_GB2312" w:hAnsi="Calibri" w:eastAsia="仿宋_GB2312" w:cs="仿宋_GB2312"/>
          <w:b w:val="0"/>
          <w:bCs w:val="0"/>
          <w:color w:val="auto"/>
          <w:sz w:val="32"/>
          <w:szCs w:val="32"/>
          <w:lang w:val="en-US" w:eastAsia="zh-CN"/>
        </w:rPr>
        <w:t>和鼓励</w:t>
      </w:r>
      <w:r>
        <w:rPr>
          <w:rFonts w:ascii="仿宋_GB2312" w:hAnsi="Calibri" w:eastAsia="仿宋_GB2312" w:cs="仿宋_GB2312"/>
          <w:b w:val="0"/>
          <w:bCs w:val="0"/>
          <w:color w:val="auto"/>
          <w:sz w:val="32"/>
          <w:szCs w:val="32"/>
        </w:rPr>
        <w:t>科技型企业的技术创</w:t>
      </w:r>
      <w:r>
        <w:rPr>
          <w:rFonts w:hint="eastAsia" w:ascii="仿宋_GB2312" w:hAnsi="Calibri" w:eastAsia="仿宋_GB2312" w:cs="仿宋_GB2312"/>
          <w:b w:val="0"/>
          <w:bCs w:val="0"/>
          <w:color w:val="auto"/>
          <w:sz w:val="32"/>
          <w:szCs w:val="32"/>
        </w:rPr>
        <w:t>新活动，促进</w:t>
      </w:r>
      <w:r>
        <w:rPr>
          <w:rFonts w:hint="eastAsia" w:ascii="仿宋_GB2312" w:hAnsi="Calibri" w:eastAsia="仿宋_GB2312" w:cs="仿宋_GB2312"/>
          <w:b w:val="0"/>
          <w:bCs w:val="0"/>
          <w:color w:val="auto"/>
          <w:sz w:val="32"/>
          <w:szCs w:val="32"/>
          <w:lang w:eastAsia="zh-CN"/>
        </w:rPr>
        <w:t>科技成果转化</w:t>
      </w:r>
      <w:r>
        <w:rPr>
          <w:rFonts w:hint="eastAsia" w:ascii="仿宋_GB2312" w:hAnsi="Calibri" w:eastAsia="仿宋_GB2312" w:cs="仿宋_GB2312"/>
          <w:b w:val="0"/>
          <w:bCs w:val="0"/>
          <w:color w:val="auto"/>
          <w:sz w:val="32"/>
          <w:szCs w:val="32"/>
        </w:rPr>
        <w:t>，培育一批特色鲜明、成长性较强的科技型企业。</w:t>
      </w:r>
    </w:p>
    <w:p w14:paraId="6C5AD442">
      <w:pPr>
        <w:keepNext w:val="0"/>
        <w:keepLines w:val="0"/>
        <w:pageBreakBefore w:val="0"/>
        <w:widowControl/>
        <w:kinsoku/>
        <w:wordWrap/>
        <w:overflowPunct/>
        <w:topLinePunct w:val="0"/>
        <w:autoSpaceDE/>
        <w:autoSpaceDN/>
        <w:bidi w:val="0"/>
        <w:snapToGrid/>
        <w:spacing w:line="540" w:lineRule="exact"/>
        <w:ind w:left="0" w:firstLine="640" w:firstLineChars="200"/>
        <w:textAlignment w:val="auto"/>
        <w:rPr>
          <w:rFonts w:hint="eastAsia" w:ascii="仿宋_GB2312" w:hAnsi="仿宋_GB2312" w:eastAsia="仿宋_GB2312" w:cs="仿宋_GB2312"/>
          <w:bCs/>
          <w:color w:val="auto"/>
          <w:kern w:val="0"/>
          <w:sz w:val="32"/>
          <w:szCs w:val="32"/>
        </w:rPr>
      </w:pPr>
      <w:r>
        <w:rPr>
          <w:rFonts w:hint="default" w:ascii="仿宋_GB2312" w:hAnsi="仿宋_GB2312" w:eastAsia="仿宋_GB2312" w:cs="仿宋_GB2312"/>
          <w:bCs/>
          <w:color w:val="auto"/>
          <w:kern w:val="0"/>
          <w:sz w:val="32"/>
          <w:szCs w:val="32"/>
          <w:lang w:eastAsia="zh-CN"/>
        </w:rPr>
        <w:t>本次项目为政策引导类计划，无财政科技资金支持</w:t>
      </w:r>
      <w:r>
        <w:rPr>
          <w:rFonts w:hint="eastAsia" w:ascii="仿宋_GB2312" w:hAnsi="仿宋_GB2312" w:eastAsia="仿宋_GB2312" w:cs="仿宋_GB2312"/>
          <w:bCs/>
          <w:color w:val="auto"/>
          <w:kern w:val="0"/>
          <w:sz w:val="32"/>
          <w:szCs w:val="32"/>
          <w:lang w:eastAsia="zh-CN"/>
        </w:rPr>
        <w:t>。</w:t>
      </w:r>
    </w:p>
    <w:p w14:paraId="6235D8F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Calibri" w:hAnsi="Calibri" w:cs="Calibri"/>
          <w:color w:val="auto"/>
          <w:sz w:val="21"/>
          <w:szCs w:val="21"/>
        </w:rPr>
      </w:pPr>
      <w:r>
        <w:rPr>
          <w:rFonts w:hint="eastAsia" w:ascii="黑体" w:hAnsi="宋体" w:eastAsia="黑体" w:cs="黑体"/>
          <w:color w:val="auto"/>
          <w:sz w:val="30"/>
          <w:szCs w:val="30"/>
        </w:rPr>
        <w:t>二、支持范围</w:t>
      </w:r>
    </w:p>
    <w:p w14:paraId="47315E9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color w:val="auto"/>
          <w:sz w:val="21"/>
          <w:szCs w:val="21"/>
          <w:u w:val="none"/>
        </w:rPr>
      </w:pPr>
      <w:r>
        <w:rPr>
          <w:rFonts w:hint="eastAsia" w:ascii="仿宋_GB2312" w:hAnsi="Calibri" w:eastAsia="仿宋_GB2312" w:cs="仿宋_GB2312"/>
          <w:b w:val="0"/>
          <w:bCs w:val="0"/>
          <w:color w:val="auto"/>
          <w:sz w:val="32"/>
          <w:szCs w:val="32"/>
        </w:rPr>
        <w:t>1.符合《国家重点支持的高新技术领域》规定的范围（电子信息、生物与新医药、航空航天、新材料、高技术服务、新能源与节能、资源与环境、先进制造与自动化八大领域），项目技术含量高，创新性强</w:t>
      </w:r>
      <w:r>
        <w:rPr>
          <w:rFonts w:hint="eastAsia" w:ascii="仿宋_GB2312" w:hAnsi="Calibri" w:eastAsia="仿宋_GB2312" w:cs="仿宋_GB2312"/>
          <w:b w:val="0"/>
          <w:bCs w:val="0"/>
          <w:color w:val="auto"/>
          <w:sz w:val="32"/>
          <w:szCs w:val="32"/>
          <w:lang w:eastAsia="zh-CN"/>
        </w:rPr>
        <w:t>、具</w:t>
      </w:r>
      <w:r>
        <w:rPr>
          <w:rFonts w:hint="eastAsia" w:ascii="仿宋_GB2312" w:hAnsi="Calibri" w:eastAsia="仿宋_GB2312" w:cs="仿宋_GB2312"/>
          <w:b w:val="0"/>
          <w:bCs w:val="0"/>
          <w:color w:val="auto"/>
          <w:sz w:val="32"/>
          <w:szCs w:val="32"/>
        </w:rPr>
        <w:t>有较强的市场竞争力，知识产权清晰</w:t>
      </w:r>
      <w:r>
        <w:rPr>
          <w:rFonts w:hint="eastAsia" w:ascii="仿宋_GB2312" w:hAnsi="Calibri" w:eastAsia="仿宋_GB2312" w:cs="仿宋_GB2312"/>
          <w:b w:val="0"/>
          <w:bCs w:val="0"/>
          <w:color w:val="auto"/>
          <w:sz w:val="32"/>
          <w:szCs w:val="32"/>
          <w:u w:val="none"/>
        </w:rPr>
        <w:t>。</w:t>
      </w:r>
    </w:p>
    <w:p w14:paraId="4722008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color w:val="auto"/>
          <w:sz w:val="21"/>
          <w:szCs w:val="21"/>
          <w:u w:val="none"/>
        </w:rPr>
      </w:pPr>
      <w:r>
        <w:rPr>
          <w:rFonts w:hint="eastAsia" w:ascii="仿宋_GB2312" w:hAnsi="Calibri" w:eastAsia="仿宋_GB2312" w:cs="仿宋_GB2312"/>
          <w:b w:val="0"/>
          <w:bCs w:val="0"/>
          <w:color w:val="auto"/>
          <w:sz w:val="32"/>
          <w:szCs w:val="32"/>
          <w:u w:val="none"/>
        </w:rPr>
        <w:t>2.</w:t>
      </w:r>
      <w:r>
        <w:rPr>
          <w:rFonts w:hint="eastAsia" w:ascii="仿宋_GB2312" w:hAnsi="Calibri" w:eastAsia="仿宋_GB2312" w:cs="仿宋_GB2312"/>
          <w:b w:val="0"/>
          <w:bCs w:val="0"/>
          <w:color w:val="auto"/>
          <w:sz w:val="32"/>
          <w:szCs w:val="32"/>
          <w:u w:val="none"/>
          <w:lang w:val="en-US" w:eastAsia="zh-CN"/>
        </w:rPr>
        <w:t>重点</w:t>
      </w:r>
      <w:r>
        <w:rPr>
          <w:rFonts w:hint="eastAsia" w:ascii="仿宋_GB2312" w:hAnsi="Calibri" w:eastAsia="仿宋_GB2312" w:cs="仿宋_GB2312"/>
          <w:b w:val="0"/>
          <w:bCs w:val="0"/>
          <w:color w:val="auto"/>
          <w:sz w:val="32"/>
          <w:szCs w:val="32"/>
          <w:u w:val="none"/>
        </w:rPr>
        <w:t>支持高新技术企业、入库高新技术企业培育库和国家科技型中小企业信息库的具有独立企业法人资格的企业。</w:t>
      </w:r>
    </w:p>
    <w:p w14:paraId="348BB04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color w:val="auto"/>
          <w:sz w:val="21"/>
          <w:szCs w:val="21"/>
        </w:rPr>
      </w:pPr>
      <w:r>
        <w:rPr>
          <w:rFonts w:hint="eastAsia" w:ascii="仿宋_GB2312" w:hAnsi="Calibri" w:eastAsia="仿宋_GB2312" w:cs="仿宋_GB2312"/>
          <w:b w:val="0"/>
          <w:bCs w:val="0"/>
          <w:color w:val="auto"/>
          <w:sz w:val="32"/>
          <w:szCs w:val="32"/>
          <w:u w:val="none"/>
        </w:rPr>
        <w:t>3.项目、产品或服务有明确的市场需求</w:t>
      </w:r>
      <w:r>
        <w:rPr>
          <w:rFonts w:hint="eastAsia" w:ascii="仿宋_GB2312" w:hAnsi="Calibri" w:eastAsia="仿宋_GB2312" w:cs="仿宋_GB2312"/>
          <w:b w:val="0"/>
          <w:bCs w:val="0"/>
          <w:color w:val="auto"/>
          <w:sz w:val="32"/>
          <w:szCs w:val="32"/>
        </w:rPr>
        <w:t>和较强的市场竞争力，可以产生较好的经济效益和社会效益；属企业自主研发项目，具有自主知识产权。</w:t>
      </w:r>
    </w:p>
    <w:p w14:paraId="3571C8E6">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Calibri" w:hAnsi="Calibri" w:cs="Calibri"/>
          <w:color w:val="auto"/>
          <w:sz w:val="21"/>
          <w:szCs w:val="21"/>
        </w:rPr>
      </w:pPr>
      <w:r>
        <w:rPr>
          <w:rFonts w:hint="eastAsia" w:ascii="黑体" w:hAnsi="宋体" w:eastAsia="黑体" w:cs="黑体"/>
          <w:color w:val="auto"/>
          <w:sz w:val="30"/>
          <w:szCs w:val="30"/>
        </w:rPr>
        <w:t>三、申报条件</w:t>
      </w:r>
    </w:p>
    <w:p w14:paraId="08C8D1D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color w:val="auto"/>
          <w:sz w:val="21"/>
          <w:szCs w:val="21"/>
        </w:rPr>
      </w:pPr>
      <w:r>
        <w:rPr>
          <w:rFonts w:hint="eastAsia" w:ascii="仿宋_GB2312" w:hAnsi="Calibri" w:eastAsia="仿宋_GB2312" w:cs="仿宋_GB2312"/>
          <w:b w:val="0"/>
          <w:bCs w:val="0"/>
          <w:color w:val="auto"/>
          <w:sz w:val="32"/>
          <w:szCs w:val="32"/>
        </w:rPr>
        <w:t>1.企业</w:t>
      </w:r>
      <w:r>
        <w:rPr>
          <w:rFonts w:hint="eastAsia" w:ascii="仿宋_GB2312" w:hAnsi="Calibri" w:eastAsia="仿宋_GB2312" w:cs="仿宋_GB2312"/>
          <w:b w:val="0"/>
          <w:bCs w:val="0"/>
          <w:color w:val="auto"/>
          <w:sz w:val="32"/>
          <w:szCs w:val="32"/>
          <w:lang w:eastAsia="zh-CN"/>
        </w:rPr>
        <w:t>是在</w:t>
      </w:r>
      <w:r>
        <w:rPr>
          <w:rFonts w:hint="eastAsia" w:ascii="仿宋_GB2312" w:hAnsi="Calibri" w:eastAsia="仿宋_GB2312" w:cs="仿宋_GB2312"/>
          <w:b w:val="0"/>
          <w:bCs w:val="0"/>
          <w:color w:val="auto"/>
          <w:sz w:val="32"/>
          <w:szCs w:val="32"/>
        </w:rPr>
        <w:t>滕州市行政区划内登记注册，主要从事高新技术产品研究、开发、生产或服务。符合国家产业政策、技术政策</w:t>
      </w:r>
      <w:r>
        <w:rPr>
          <w:rFonts w:hint="eastAsia" w:ascii="仿宋_GB2312" w:hAnsi="Calibri" w:eastAsia="仿宋_GB2312" w:cs="仿宋_GB2312"/>
          <w:b w:val="0"/>
          <w:bCs w:val="0"/>
          <w:color w:val="auto"/>
          <w:sz w:val="32"/>
          <w:szCs w:val="32"/>
          <w:lang w:eastAsia="zh-CN"/>
        </w:rPr>
        <w:t>，</w:t>
      </w:r>
      <w:r>
        <w:rPr>
          <w:rFonts w:hint="eastAsia" w:ascii="仿宋_GB2312" w:hAnsi="Calibri" w:eastAsia="仿宋_GB2312" w:cs="仿宋_GB2312"/>
          <w:b w:val="0"/>
          <w:bCs w:val="0"/>
          <w:color w:val="auto"/>
          <w:sz w:val="32"/>
          <w:szCs w:val="32"/>
        </w:rPr>
        <w:t>且依法纳税的法人企业。</w:t>
      </w:r>
    </w:p>
    <w:p w14:paraId="3F097A4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color w:val="auto"/>
          <w:sz w:val="21"/>
          <w:szCs w:val="21"/>
        </w:rPr>
      </w:pPr>
      <w:r>
        <w:rPr>
          <w:rFonts w:hint="eastAsia" w:ascii="仿宋_GB2312" w:hAnsi="Calibri" w:eastAsia="仿宋_GB2312" w:cs="仿宋_GB2312"/>
          <w:b w:val="0"/>
          <w:bCs w:val="0"/>
          <w:color w:val="auto"/>
          <w:sz w:val="32"/>
          <w:szCs w:val="32"/>
        </w:rPr>
        <w:t>2.企业具有良好的经营业绩，具备完成申报项目的资金保障能力，公司财务管理制度健全和专业的财务管理人员。</w:t>
      </w:r>
    </w:p>
    <w:p w14:paraId="6D661EA0">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color w:val="auto"/>
          <w:sz w:val="21"/>
          <w:szCs w:val="21"/>
        </w:rPr>
      </w:pPr>
      <w:r>
        <w:rPr>
          <w:rFonts w:hint="eastAsia" w:ascii="仿宋_GB2312" w:hAnsi="Calibri" w:eastAsia="仿宋_GB2312" w:cs="仿宋_GB2312"/>
          <w:b w:val="0"/>
          <w:bCs w:val="0"/>
          <w:color w:val="auto"/>
          <w:sz w:val="32"/>
          <w:szCs w:val="32"/>
        </w:rPr>
        <w:t>3.项目须在制造工艺技术改进、材料替代应用、产品性能提高、技术服务模式推广等方面有较大创新，无知识产权纠纷。</w:t>
      </w:r>
    </w:p>
    <w:p w14:paraId="434652A2">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default" w:ascii="Calibri" w:hAnsi="Calibri" w:cs="Calibri"/>
          <w:color w:val="auto"/>
          <w:sz w:val="21"/>
          <w:szCs w:val="21"/>
        </w:rPr>
      </w:pPr>
      <w:r>
        <w:rPr>
          <w:rFonts w:hint="eastAsia" w:ascii="黑体" w:hAnsi="宋体" w:eastAsia="黑体" w:cs="黑体"/>
          <w:color w:val="auto"/>
          <w:sz w:val="30"/>
          <w:szCs w:val="30"/>
        </w:rPr>
        <w:t>四、申报材料</w:t>
      </w:r>
    </w:p>
    <w:p w14:paraId="4FB53F18">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Calibri" w:eastAsia="仿宋_GB2312" w:cs="仿宋_GB2312"/>
          <w:b w:val="0"/>
          <w:bCs w:val="0"/>
          <w:color w:val="auto"/>
          <w:sz w:val="32"/>
          <w:szCs w:val="32"/>
        </w:rPr>
      </w:pPr>
      <w:r>
        <w:rPr>
          <w:rFonts w:hint="eastAsia" w:ascii="仿宋_GB2312" w:hAnsi="Calibri" w:eastAsia="仿宋_GB2312" w:cs="仿宋_GB2312"/>
          <w:b w:val="0"/>
          <w:bCs w:val="0"/>
          <w:color w:val="auto"/>
          <w:sz w:val="32"/>
          <w:szCs w:val="32"/>
        </w:rPr>
        <w:t>申请企业应认真编写滕州市科技型企业培育计划申报材料，主要内容有：</w:t>
      </w:r>
    </w:p>
    <w:p w14:paraId="3DEE052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1.《滕州市科技型企业培育计划项目申报书》（见附件2）；</w:t>
      </w:r>
    </w:p>
    <w:p w14:paraId="01D79A1F">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2.项目可行性报告；</w:t>
      </w:r>
    </w:p>
    <w:p w14:paraId="376A680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3.有关附件。主要包括：企业法人营业执照、组织机构代码证、税务登记证、专利证书、检验报告、用户报告、科技成果鉴定证书、科技查新报告、外观图片、环保证明、高新技术企业证书、相关荣誉证书等。</w:t>
      </w:r>
    </w:p>
    <w:p w14:paraId="0E6F46E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00" w:firstLineChars="200"/>
        <w:jc w:val="both"/>
        <w:textAlignment w:val="auto"/>
        <w:rPr>
          <w:rFonts w:hint="eastAsia" w:ascii="黑体" w:hAnsi="宋体" w:eastAsia="黑体" w:cs="黑体"/>
          <w:i w:val="0"/>
          <w:iCs w:val="0"/>
          <w:caps w:val="0"/>
          <w:color w:val="auto"/>
          <w:spacing w:val="0"/>
          <w:sz w:val="30"/>
          <w:szCs w:val="30"/>
          <w:shd w:val="clear" w:color="auto" w:fill="FFFFFF"/>
        </w:rPr>
      </w:pPr>
      <w:r>
        <w:rPr>
          <w:rFonts w:hint="eastAsia" w:ascii="黑体" w:hAnsi="宋体" w:eastAsia="黑体" w:cs="黑体"/>
          <w:i w:val="0"/>
          <w:iCs w:val="0"/>
          <w:caps w:val="0"/>
          <w:color w:val="auto"/>
          <w:spacing w:val="0"/>
          <w:sz w:val="30"/>
          <w:szCs w:val="30"/>
          <w:shd w:val="clear" w:color="auto" w:fill="FFFFFF"/>
        </w:rPr>
        <w:t>五、申报方式</w:t>
      </w:r>
    </w:p>
    <w:p w14:paraId="22357FD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申报材料，胶装一式两份，加盖申报单位公章后上报，同时上报电子版。</w:t>
      </w:r>
    </w:p>
    <w:p w14:paraId="795C95F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报送地点：市科技局高新技术发展及产业化室（政务中心</w:t>
      </w:r>
      <w:r>
        <w:rPr>
          <w:rFonts w:hint="eastAsia" w:ascii="仿宋_GB2312" w:hAnsi="Calibri" w:eastAsia="仿宋_GB2312" w:cs="仿宋_GB2312"/>
          <w:b w:val="0"/>
          <w:bCs w:val="0"/>
          <w:i w:val="0"/>
          <w:iCs w:val="0"/>
          <w:caps w:val="0"/>
          <w:color w:val="auto"/>
          <w:spacing w:val="0"/>
          <w:sz w:val="32"/>
          <w:szCs w:val="32"/>
          <w:shd w:val="clear" w:color="auto" w:fill="FFFFFF"/>
          <w:lang w:eastAsia="zh-CN"/>
        </w:rPr>
        <w:t>A423</w:t>
      </w:r>
      <w:r>
        <w:rPr>
          <w:rFonts w:hint="eastAsia" w:ascii="仿宋_GB2312" w:hAnsi="Calibri" w:eastAsia="仿宋_GB2312" w:cs="仿宋_GB2312"/>
          <w:b w:val="0"/>
          <w:bCs w:val="0"/>
          <w:i w:val="0"/>
          <w:iCs w:val="0"/>
          <w:caps w:val="0"/>
          <w:color w:val="auto"/>
          <w:spacing w:val="0"/>
          <w:sz w:val="32"/>
          <w:szCs w:val="32"/>
          <w:shd w:val="clear" w:color="auto" w:fill="FFFFFF"/>
          <w:lang w:val="en-US" w:eastAsia="zh-CN"/>
        </w:rPr>
        <w:t>-1</w:t>
      </w:r>
      <w:r>
        <w:rPr>
          <w:rFonts w:hint="eastAsia" w:ascii="仿宋_GB2312" w:hAnsi="Calibri" w:eastAsia="仿宋_GB2312" w:cs="仿宋_GB2312"/>
          <w:b w:val="0"/>
          <w:bCs w:val="0"/>
          <w:i w:val="0"/>
          <w:iCs w:val="0"/>
          <w:caps w:val="0"/>
          <w:color w:val="auto"/>
          <w:spacing w:val="0"/>
          <w:sz w:val="32"/>
          <w:szCs w:val="32"/>
          <w:shd w:val="clear" w:color="auto" w:fill="FFFFFF"/>
        </w:rPr>
        <w:t>房间）</w:t>
      </w:r>
    </w:p>
    <w:p w14:paraId="33B56EBA">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Calibri" w:hAnsi="Calibri" w:eastAsia="仿宋_GB2312" w:cs="Calibri"/>
          <w:i w:val="0"/>
          <w:iCs w:val="0"/>
          <w:caps w:val="0"/>
          <w:color w:val="auto"/>
          <w:spacing w:val="0"/>
          <w:sz w:val="21"/>
          <w:szCs w:val="21"/>
          <w:lang w:eastAsia="zh-CN"/>
        </w:rPr>
      </w:pPr>
      <w:r>
        <w:rPr>
          <w:rFonts w:hint="eastAsia" w:ascii="仿宋_GB2312" w:hAnsi="Calibri" w:eastAsia="仿宋_GB2312" w:cs="仿宋_GB2312"/>
          <w:b w:val="0"/>
          <w:bCs w:val="0"/>
          <w:i w:val="0"/>
          <w:iCs w:val="0"/>
          <w:caps w:val="0"/>
          <w:color w:val="auto"/>
          <w:spacing w:val="0"/>
          <w:sz w:val="32"/>
          <w:szCs w:val="32"/>
          <w:shd w:val="clear" w:color="auto" w:fill="FFFFFF"/>
        </w:rPr>
        <w:t>联系人：陈春雨</w:t>
      </w:r>
      <w:r>
        <w:rPr>
          <w:rFonts w:hint="eastAsia" w:ascii="仿宋_GB2312" w:hAnsi="Calibri" w:eastAsia="仿宋_GB2312" w:cs="仿宋_GB2312"/>
          <w:b w:val="0"/>
          <w:bCs w:val="0"/>
          <w:i w:val="0"/>
          <w:iCs w:val="0"/>
          <w:caps w:val="0"/>
          <w:color w:val="auto"/>
          <w:spacing w:val="0"/>
          <w:sz w:val="32"/>
          <w:szCs w:val="32"/>
          <w:shd w:val="clear" w:color="auto" w:fill="FFFFFF"/>
          <w:lang w:val="en-US" w:eastAsia="zh-CN"/>
        </w:rPr>
        <w:t xml:space="preserve">  </w:t>
      </w:r>
      <w:r>
        <w:rPr>
          <w:rFonts w:hint="eastAsia" w:ascii="仿宋_GB2312" w:hAnsi="Calibri" w:eastAsia="仿宋_GB2312" w:cs="仿宋_GB2312"/>
          <w:b w:val="0"/>
          <w:bCs w:val="0"/>
          <w:i w:val="0"/>
          <w:iCs w:val="0"/>
          <w:caps w:val="0"/>
          <w:color w:val="auto"/>
          <w:spacing w:val="0"/>
          <w:sz w:val="32"/>
          <w:szCs w:val="32"/>
          <w:shd w:val="clear" w:color="auto" w:fill="FFFFFF"/>
        </w:rPr>
        <w:t>张航</w:t>
      </w:r>
    </w:p>
    <w:p w14:paraId="0D80ACAB">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联系电话：5888218</w:t>
      </w:r>
    </w:p>
    <w:p w14:paraId="23C01B8D">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Calibri" w:hAnsi="Calibri" w:cs="Calibri"/>
          <w:i w:val="0"/>
          <w:iCs w:val="0"/>
          <w:caps w:val="0"/>
          <w:color w:val="auto"/>
          <w:spacing w:val="0"/>
          <w:sz w:val="21"/>
          <w:szCs w:val="21"/>
        </w:rPr>
      </w:pPr>
      <w:r>
        <w:rPr>
          <w:rFonts w:hint="eastAsia" w:ascii="仿宋_GB2312" w:hAnsi="Calibri" w:eastAsia="仿宋_GB2312" w:cs="仿宋_GB2312"/>
          <w:b w:val="0"/>
          <w:bCs w:val="0"/>
          <w:i w:val="0"/>
          <w:iCs w:val="0"/>
          <w:caps w:val="0"/>
          <w:color w:val="auto"/>
          <w:spacing w:val="0"/>
          <w:sz w:val="32"/>
          <w:szCs w:val="32"/>
          <w:shd w:val="clear" w:color="auto" w:fill="FFFFFF"/>
        </w:rPr>
        <w:t>电子邮箱：tzkjjgxs@163.com</w:t>
      </w:r>
    </w:p>
    <w:p w14:paraId="5AEC20F3">
      <w:pPr>
        <w:keepNext w:val="0"/>
        <w:keepLines w:val="0"/>
        <w:pageBreakBefore w:val="0"/>
        <w:widowControl/>
        <w:kinsoku/>
        <w:wordWrap/>
        <w:overflowPunct/>
        <w:topLinePunct w:val="0"/>
        <w:autoSpaceDE w:val="0"/>
        <w:autoSpaceDN/>
        <w:bidi w:val="0"/>
        <w:adjustRightInd w:val="0"/>
        <w:snapToGrid w:val="0"/>
        <w:spacing w:line="560" w:lineRule="exact"/>
        <w:ind w:left="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rPr>
        <w:sectPr>
          <w:pgSz w:w="11906" w:h="16838"/>
          <w:pgMar w:top="1587" w:right="1587" w:bottom="1587" w:left="1587" w:header="851" w:footer="992" w:gutter="0"/>
          <w:pgNumType w:fmt="decimal"/>
          <w:cols w:space="425" w:num="1"/>
          <w:docGrid w:type="lines" w:linePitch="312" w:charSpace="0"/>
        </w:sectPr>
      </w:pPr>
    </w:p>
    <w:p w14:paraId="16EFC72F">
      <w:pPr>
        <w:keepNext w:val="0"/>
        <w:keepLines w:val="0"/>
        <w:pageBreakBefore w:val="0"/>
        <w:widowControl/>
        <w:kinsoku/>
        <w:wordWrap/>
        <w:overflowPunct/>
        <w:topLinePunct w:val="0"/>
        <w:autoSpaceDE/>
        <w:autoSpaceDN/>
        <w:bidi w:val="0"/>
        <w:adjustRightInd w:val="0"/>
        <w:snapToGrid/>
        <w:spacing w:beforeAutospacing="0" w:afterAutospacing="0" w:line="560" w:lineRule="exact"/>
        <w:jc w:val="center"/>
        <w:textAlignment w:val="auto"/>
        <w:rPr>
          <w:rFonts w:hint="eastAsia" w:ascii="黑体" w:hAnsi="宋体" w:eastAsia="黑体" w:cs="宋体"/>
          <w:bCs/>
          <w:color w:val="auto"/>
          <w:kern w:val="0"/>
          <w:sz w:val="44"/>
          <w:szCs w:val="44"/>
          <w:lang w:val="en-US" w:eastAsia="zh-CN"/>
        </w:rPr>
      </w:pPr>
      <w:r>
        <w:rPr>
          <w:rFonts w:hint="eastAsia" w:ascii="黑体" w:hAnsi="宋体" w:eastAsia="黑体" w:cs="宋体"/>
          <w:bCs/>
          <w:color w:val="auto"/>
          <w:kern w:val="0"/>
          <w:sz w:val="44"/>
          <w:szCs w:val="44"/>
          <w:lang w:val="en-US" w:eastAsia="zh-CN"/>
        </w:rPr>
        <w:t>滕州市产学研合作计划申报指南</w:t>
      </w:r>
    </w:p>
    <w:p w14:paraId="57A2332D">
      <w:pPr>
        <w:pStyle w:val="7"/>
        <w:keepNext w:val="0"/>
        <w:keepLines w:val="0"/>
        <w:pageBreakBefore w:val="0"/>
        <w:kinsoku/>
        <w:wordWrap/>
        <w:overflowPunct/>
        <w:topLinePunct w:val="0"/>
        <w:autoSpaceDE/>
        <w:autoSpaceDN/>
        <w:bidi w:val="0"/>
        <w:adjustRightInd/>
        <w:snapToGrid/>
        <w:spacing w:line="560" w:lineRule="exact"/>
        <w:ind w:left="0" w:firstLine="640" w:firstLineChars="200"/>
        <w:jc w:val="center"/>
        <w:textAlignment w:val="auto"/>
        <w:rPr>
          <w:rFonts w:hint="eastAsia"/>
          <w:color w:val="auto"/>
        </w:rPr>
      </w:pPr>
    </w:p>
    <w:p w14:paraId="0C6D505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一、计划概述</w:t>
      </w:r>
    </w:p>
    <w:p w14:paraId="559943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产学研合作</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计划是引导、鼓励我市企事业单位及研发机构</w:t>
      </w:r>
      <w:r>
        <w:rPr>
          <w:rFonts w:hint="default" w:ascii="仿宋_GB2312" w:hAnsi="宋体" w:eastAsia="仿宋_GB2312" w:cs="仿宋_GB2312"/>
          <w:b w:val="0"/>
          <w:i w:val="0"/>
          <w:caps w:val="0"/>
          <w:color w:val="auto"/>
          <w:spacing w:val="0"/>
          <w:kern w:val="0"/>
          <w:sz w:val="32"/>
          <w:szCs w:val="32"/>
          <w:shd w:val="clear" w:color="auto" w:fill="FFFFFF"/>
          <w:lang w:val="en-US" w:eastAsia="zh-CN"/>
        </w:rPr>
        <w:t>与国</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内</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外</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高等院校</w:t>
      </w:r>
      <w:r>
        <w:rPr>
          <w:rFonts w:hint="default" w:ascii="仿宋_GB2312" w:hAnsi="宋体" w:eastAsia="仿宋_GB2312" w:cs="仿宋_GB2312"/>
          <w:b w:val="0"/>
          <w:i w:val="0"/>
          <w:caps w:val="0"/>
          <w:color w:val="auto"/>
          <w:spacing w:val="0"/>
          <w:kern w:val="0"/>
          <w:sz w:val="32"/>
          <w:szCs w:val="32"/>
          <w:shd w:val="clear" w:color="auto" w:fill="FFFFFF"/>
          <w:lang w:val="en-US" w:eastAsia="zh-CN"/>
        </w:rPr>
        <w:t>、</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科研院所</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和知名企业等</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开展的技术合作，通过</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有效聚集国内外创新资源，合力解决制约滕州经济社会发展过程中的重大、核心和关键技术问题，持续提升我市科技创新能力，</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促进先进科技成果在我市落地转化。</w:t>
      </w:r>
    </w:p>
    <w:p w14:paraId="47A6C043">
      <w:pPr>
        <w:keepNext w:val="0"/>
        <w:keepLines w:val="0"/>
        <w:pageBreakBefore w:val="0"/>
        <w:widowControl/>
        <w:kinsoku/>
        <w:wordWrap/>
        <w:overflowPunct/>
        <w:topLinePunct w:val="0"/>
        <w:autoSpaceDE/>
        <w:autoSpaceDN/>
        <w:bidi w:val="0"/>
        <w:snapToGrid/>
        <w:spacing w:line="540" w:lineRule="exact"/>
        <w:ind w:left="0" w:firstLine="640" w:firstLineChars="200"/>
        <w:textAlignment w:val="auto"/>
        <w:rPr>
          <w:rFonts w:hint="eastAsia" w:ascii="仿宋_GB2312" w:hAnsi="仿宋_GB2312" w:eastAsia="仿宋_GB2312" w:cs="仿宋_GB2312"/>
          <w:bCs/>
          <w:color w:val="auto"/>
          <w:kern w:val="0"/>
          <w:sz w:val="32"/>
          <w:szCs w:val="32"/>
        </w:rPr>
      </w:pPr>
      <w:r>
        <w:rPr>
          <w:rFonts w:hint="default" w:ascii="仿宋_GB2312" w:hAnsi="仿宋_GB2312" w:eastAsia="仿宋_GB2312" w:cs="仿宋_GB2312"/>
          <w:bCs/>
          <w:color w:val="auto"/>
          <w:kern w:val="0"/>
          <w:sz w:val="32"/>
          <w:szCs w:val="32"/>
          <w:lang w:eastAsia="zh-CN"/>
        </w:rPr>
        <w:t>本次项目为政策引导类计划，无财政科技资金支持</w:t>
      </w:r>
      <w:r>
        <w:rPr>
          <w:rFonts w:hint="eastAsia" w:ascii="仿宋_GB2312" w:hAnsi="仿宋_GB2312" w:eastAsia="仿宋_GB2312" w:cs="仿宋_GB2312"/>
          <w:bCs/>
          <w:color w:val="auto"/>
          <w:kern w:val="0"/>
          <w:sz w:val="32"/>
          <w:szCs w:val="32"/>
          <w:lang w:eastAsia="zh-CN"/>
        </w:rPr>
        <w:t>。</w:t>
      </w:r>
    </w:p>
    <w:p w14:paraId="610F3A0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黑体" w:hAnsi="宋体" w:eastAsia="黑体" w:cs="黑体"/>
          <w:b w:val="0"/>
          <w:i w:val="0"/>
          <w:caps w:val="0"/>
          <w:color w:val="auto"/>
          <w:spacing w:val="0"/>
          <w:kern w:val="0"/>
          <w:sz w:val="32"/>
          <w:szCs w:val="32"/>
          <w:shd w:val="clear" w:color="auto" w:fill="FFFFFF"/>
          <w:lang w:val="en-US" w:eastAsia="zh-CN"/>
        </w:rPr>
        <w:t>二、支持范围</w:t>
      </w:r>
    </w:p>
    <w:p w14:paraId="5ED12A0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1.支持我市企事业单位、研发机构</w:t>
      </w:r>
      <w:r>
        <w:rPr>
          <w:rFonts w:hint="default" w:ascii="仿宋_GB2312" w:hAnsi="宋体" w:eastAsia="仿宋_GB2312" w:cs="仿宋_GB2312"/>
          <w:b w:val="0"/>
          <w:i w:val="0"/>
          <w:caps w:val="0"/>
          <w:color w:val="auto"/>
          <w:spacing w:val="0"/>
          <w:kern w:val="0"/>
          <w:sz w:val="32"/>
          <w:szCs w:val="32"/>
          <w:shd w:val="clear" w:color="auto" w:fill="FFFFFF"/>
          <w:lang w:val="en-US" w:eastAsia="zh-CN"/>
        </w:rPr>
        <w:t>与国</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内</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外</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高等院校</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、科研院所、知名企业进行产学研合作的项目</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项目实施后对</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承担单位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技术进步有较明显的带动作用</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0888D0A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2.支持我市企事业单位与高校、科研院所及相关研发机构组建联盟，围绕核心技术和共性关键技术攻关、科技成果转化及推广应用等，开展产学研协同创新；</w:t>
      </w:r>
    </w:p>
    <w:p w14:paraId="41AE0A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3.支持引进培养高层次人才项目、科研平台研发、中试、产业化项目，企业与选聘的“科技副总”合作的项目。</w:t>
      </w:r>
    </w:p>
    <w:p w14:paraId="4E7EAE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三、申报条件</w:t>
      </w:r>
    </w:p>
    <w:p w14:paraId="784F60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1</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.申报单位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必须是</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滕州</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市内注册的、具有独立法人资格的</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企事业单位或科研平台</w:t>
      </w:r>
      <w:r>
        <w:rPr>
          <w:rFonts w:hint="default" w:ascii="仿宋_GB2312" w:hAnsi="宋体" w:eastAsia="仿宋_GB2312" w:cs="仿宋_GB2312"/>
          <w:b w:val="0"/>
          <w:i w:val="0"/>
          <w:caps w:val="0"/>
          <w:color w:val="auto"/>
          <w:spacing w:val="0"/>
          <w:kern w:val="0"/>
          <w:sz w:val="32"/>
          <w:szCs w:val="32"/>
          <w:shd w:val="clear" w:color="auto" w:fill="FFFFFF"/>
          <w:lang w:val="en-US" w:eastAsia="zh-CN"/>
        </w:rPr>
        <w:t>；</w:t>
      </w:r>
    </w:p>
    <w:p w14:paraId="0DD4616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2</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.申报单位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具有较强的科技创新能力，与国</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内</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外高校、科研院所和知名企业等有</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实质性</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的合作关系；</w:t>
      </w:r>
    </w:p>
    <w:p w14:paraId="377BB3E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default"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3</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.申请单位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经营状况和财务状况良好，具有实施项目的资金能力、人才条件、技术装备和产业化基础</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7B67475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4.</w:t>
      </w:r>
      <w:r>
        <w:rPr>
          <w:rFonts w:hint="default" w:ascii="仿宋_GB2312" w:hAnsi="宋体" w:eastAsia="仿宋_GB2312" w:cs="仿宋_GB2312"/>
          <w:b w:val="0"/>
          <w:i w:val="0"/>
          <w:caps w:val="0"/>
          <w:color w:val="auto"/>
          <w:spacing w:val="0"/>
          <w:kern w:val="0"/>
          <w:sz w:val="32"/>
          <w:szCs w:val="32"/>
          <w:shd w:val="clear" w:color="auto" w:fill="FFFFFF"/>
          <w:lang w:val="en-US" w:eastAsia="zh-CN"/>
        </w:rPr>
        <w:t>项目技术成熟可靠，与</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申请单位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现有产业紧密关联，通过项目实施可以进一步提升产品技术、工艺水平，或实现产品的更新换代；</w:t>
      </w:r>
    </w:p>
    <w:p w14:paraId="7854FD1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5.</w:t>
      </w:r>
      <w:r>
        <w:rPr>
          <w:rFonts w:hint="default" w:ascii="仿宋_GB2312" w:hAnsi="宋体" w:eastAsia="仿宋_GB2312" w:cs="仿宋_GB2312"/>
          <w:b w:val="0"/>
          <w:i w:val="0"/>
          <w:caps w:val="0"/>
          <w:color w:val="auto"/>
          <w:spacing w:val="0"/>
          <w:kern w:val="0"/>
          <w:sz w:val="32"/>
          <w:szCs w:val="32"/>
          <w:shd w:val="clear" w:color="auto" w:fill="FFFFFF"/>
          <w:lang w:val="en-US" w:eastAsia="zh-CN"/>
        </w:rPr>
        <w:t>项目实施主体与合作单位分工明确合理，并签订合法有效的合作协议、技术服务合同。</w:t>
      </w:r>
    </w:p>
    <w:p w14:paraId="2764E3C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四、申报材料</w:t>
      </w:r>
    </w:p>
    <w:p w14:paraId="67B364E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申请</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应认真编写滕州市产学研合作专项计划申报材料，主要内容有：</w:t>
      </w:r>
    </w:p>
    <w:p w14:paraId="103F91D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1</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《滕州市产学研合作项目申报书》；</w:t>
      </w:r>
    </w:p>
    <w:p w14:paraId="2F13D3D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2</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有关附件。主要包括：</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营业执照、项目投资中自筹资金银行证明材料、上年度财务审计报告、申报前一个月的企业会计报表、项目合作协议书、授权专利或已公开的专利申请公告说明书、依托项目及环境评价报告等。</w:t>
      </w:r>
    </w:p>
    <w:p w14:paraId="536F56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五、申报方式</w:t>
      </w:r>
    </w:p>
    <w:p w14:paraId="1E1B2B0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《申报书》需装订成册，一式两份并加盖公章后上报，同时上报电子版。</w:t>
      </w:r>
    </w:p>
    <w:p w14:paraId="1E5809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报送地点：</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市科技局</w:t>
      </w:r>
      <w:r>
        <w:rPr>
          <w:rFonts w:ascii="仿宋_GB2312" w:hAnsi="宋体" w:eastAsia="仿宋_GB2312" w:cs="仿宋_GB2312"/>
          <w:b w:val="0"/>
          <w:i w:val="0"/>
          <w:caps w:val="0"/>
          <w:color w:val="auto"/>
          <w:spacing w:val="0"/>
          <w:sz w:val="32"/>
          <w:szCs w:val="32"/>
        </w:rPr>
        <w:t>外国专家服务与科技合作室</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（政务中心</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A255</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房间）</w:t>
      </w:r>
    </w:p>
    <w:p w14:paraId="0B3DAEA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联系人：</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陈文艺  鹿现哲</w:t>
      </w:r>
    </w:p>
    <w:p w14:paraId="3108CE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default"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联系电话：</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5806255</w:t>
      </w:r>
    </w:p>
    <w:p w14:paraId="5501584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60" w:lineRule="exact"/>
        <w:ind w:left="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sectPr>
          <w:pgSz w:w="11906" w:h="16838"/>
          <w:pgMar w:top="1587" w:right="1474" w:bottom="1587" w:left="1587" w:header="851" w:footer="992" w:gutter="0"/>
          <w:pgNumType w:fmt="decimal"/>
          <w:cols w:space="425" w:num="1"/>
          <w:docGrid w:type="lines" w:linePitch="312" w:charSpace="0"/>
        </w:sect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电子邮箱：</w: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begin"/>
      </w:r>
      <w:r>
        <w:rPr>
          <w:rFonts w:hint="eastAsia" w:ascii="仿宋_GB2312" w:hAnsi="宋体" w:eastAsia="仿宋_GB2312" w:cs="仿宋_GB2312"/>
          <w:b w:val="0"/>
          <w:i w:val="0"/>
          <w:caps w:val="0"/>
          <w:color w:val="auto"/>
          <w:spacing w:val="0"/>
          <w:kern w:val="0"/>
          <w:sz w:val="32"/>
          <w:szCs w:val="32"/>
          <w:shd w:val="clear" w:color="auto" w:fill="FFFFFF"/>
          <w:lang w:val="en-US" w:eastAsia="zh-CN"/>
        </w:rPr>
        <w:instrText xml:space="preserve"> HYPERLINK "mailto:tzkjcgk" </w:instrTex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separate"/>
      </w:r>
      <w:r>
        <w:rPr>
          <w:rFonts w:hint="default" w:ascii="仿宋_GB2312" w:hAnsi="宋体" w:eastAsia="仿宋_GB2312" w:cs="仿宋_GB2312"/>
          <w:b w:val="0"/>
          <w:i w:val="0"/>
          <w:caps w:val="0"/>
          <w:color w:val="auto"/>
          <w:spacing w:val="0"/>
          <w:kern w:val="0"/>
          <w:sz w:val="32"/>
          <w:szCs w:val="32"/>
          <w:shd w:val="clear" w:color="auto" w:fill="FFFFFF"/>
          <w:lang w:val="en-US" w:eastAsia="zh-CN"/>
        </w:rPr>
        <w:t>tzkj</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jhzs</w: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end"/>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begin"/>
      </w:r>
      <w:r>
        <w:rPr>
          <w:rFonts w:hint="eastAsia" w:ascii="仿宋_GB2312" w:hAnsi="宋体" w:eastAsia="仿宋_GB2312" w:cs="仿宋_GB2312"/>
          <w:b w:val="0"/>
          <w:i w:val="0"/>
          <w:caps w:val="0"/>
          <w:color w:val="auto"/>
          <w:spacing w:val="0"/>
          <w:kern w:val="0"/>
          <w:sz w:val="32"/>
          <w:szCs w:val="32"/>
          <w:shd w:val="clear" w:color="auto" w:fill="FFFFFF"/>
          <w:lang w:val="en-US" w:eastAsia="zh-CN"/>
        </w:rPr>
        <w:instrText xml:space="preserve"> HYPERLINK "mailto:tzkjzh@163.com" </w:instrTex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separate"/>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163.com</w: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end"/>
      </w:r>
    </w:p>
    <w:p w14:paraId="71F3589B">
      <w:pPr>
        <w:keepNext w:val="0"/>
        <w:keepLines w:val="0"/>
        <w:pageBreakBefore w:val="0"/>
        <w:widowControl/>
        <w:kinsoku/>
        <w:wordWrap/>
        <w:overflowPunct/>
        <w:topLinePunct w:val="0"/>
        <w:autoSpaceDE/>
        <w:autoSpaceDN/>
        <w:bidi w:val="0"/>
        <w:adjustRightInd w:val="0"/>
        <w:snapToGrid/>
        <w:spacing w:beforeAutospacing="0" w:afterAutospacing="0" w:line="560" w:lineRule="exact"/>
        <w:jc w:val="center"/>
        <w:textAlignment w:val="auto"/>
        <w:rPr>
          <w:rFonts w:hint="eastAsia" w:ascii="黑体" w:hAnsi="宋体" w:eastAsia="黑体" w:cs="宋体"/>
          <w:bCs/>
          <w:color w:val="auto"/>
          <w:kern w:val="0"/>
          <w:sz w:val="44"/>
          <w:szCs w:val="44"/>
          <w:lang w:val="en-US" w:eastAsia="zh-CN"/>
        </w:rPr>
      </w:pPr>
      <w:r>
        <w:rPr>
          <w:rFonts w:hint="eastAsia" w:ascii="黑体" w:hAnsi="宋体" w:eastAsia="黑体" w:cs="宋体"/>
          <w:bCs/>
          <w:color w:val="auto"/>
          <w:kern w:val="0"/>
          <w:sz w:val="44"/>
          <w:szCs w:val="44"/>
          <w:lang w:val="en-US" w:eastAsia="zh-CN"/>
        </w:rPr>
        <w:t>滕州市农业与社会发展计划申报指南</w:t>
      </w:r>
    </w:p>
    <w:p w14:paraId="76A454BE">
      <w:pPr>
        <w:keepNext w:val="0"/>
        <w:keepLines w:val="0"/>
        <w:pageBreakBefore w:val="0"/>
        <w:widowControl/>
        <w:kinsoku/>
        <w:wordWrap/>
        <w:overflowPunct/>
        <w:topLinePunct w:val="0"/>
        <w:autoSpaceDE/>
        <w:autoSpaceDN/>
        <w:bidi w:val="0"/>
        <w:adjustRightInd w:val="0"/>
        <w:snapToGrid/>
        <w:spacing w:line="540" w:lineRule="exact"/>
        <w:ind w:left="0" w:firstLine="800" w:firstLineChars="200"/>
        <w:textAlignment w:val="auto"/>
        <w:rPr>
          <w:rFonts w:ascii="黑体" w:hAnsi="宋体" w:eastAsia="黑体" w:cs="黑体"/>
          <w:color w:val="auto"/>
          <w:kern w:val="0"/>
          <w:sz w:val="40"/>
          <w:szCs w:val="40"/>
          <w:shd w:val="clear" w:color="auto" w:fill="FFFFFF"/>
        </w:rPr>
      </w:pPr>
    </w:p>
    <w:p w14:paraId="07310F2B">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黑体" w:hAnsi="宋体" w:eastAsia="黑体" w:cs="宋体"/>
          <w:bCs/>
          <w:color w:val="auto"/>
          <w:kern w:val="0"/>
          <w:sz w:val="32"/>
          <w:szCs w:val="32"/>
        </w:rPr>
        <w:t>一、计划概述</w:t>
      </w:r>
    </w:p>
    <w:p w14:paraId="686A33DB">
      <w:pPr>
        <w:keepNext w:val="0"/>
        <w:keepLines w:val="0"/>
        <w:pageBreakBefore w:val="0"/>
        <w:widowControl/>
        <w:kinsoku/>
        <w:wordWrap/>
        <w:overflowPunct/>
        <w:topLinePunct w:val="0"/>
        <w:autoSpaceDE/>
        <w:autoSpaceDN/>
        <w:bidi w:val="0"/>
        <w:snapToGrid/>
        <w:spacing w:line="540" w:lineRule="exact"/>
        <w:ind w:left="0" w:firstLine="640" w:firstLineChars="200"/>
        <w:textAlignment w:val="auto"/>
        <w:rPr>
          <w:rFonts w:hint="eastAsia" w:ascii="仿宋_GB2312" w:hAnsi="仿宋_GB2312" w:eastAsia="仿宋_GB2312" w:cs="仿宋_GB2312"/>
          <w:bCs/>
          <w:color w:val="auto"/>
          <w:kern w:val="0"/>
          <w:sz w:val="32"/>
          <w:szCs w:val="32"/>
        </w:rPr>
      </w:pPr>
      <w:r>
        <w:rPr>
          <w:rFonts w:hint="eastAsia" w:ascii="仿宋_GB2312" w:hAnsi="宋体" w:eastAsia="仿宋_GB2312" w:cs="仿宋_GB2312"/>
          <w:color w:val="auto"/>
          <w:kern w:val="0"/>
          <w:sz w:val="32"/>
          <w:szCs w:val="32"/>
          <w:shd w:val="clear" w:color="auto" w:fill="FFFFFF"/>
        </w:rPr>
        <w:t>农业与社会发展计划是重点面向我市农业农村、</w:t>
      </w:r>
      <w:r>
        <w:rPr>
          <w:rFonts w:hint="eastAsia" w:ascii="仿宋_GB2312" w:hAnsi="仿宋_GB2312" w:eastAsia="仿宋_GB2312" w:cs="仿宋_GB2312"/>
          <w:bCs/>
          <w:color w:val="auto"/>
          <w:kern w:val="0"/>
          <w:sz w:val="32"/>
          <w:szCs w:val="32"/>
        </w:rPr>
        <w:t>社会发展领域中所要解决的重大科技问题，通过关键共性技术的突破、引进技术的创新、高新技术的应用，为农业和农村开发建设、人民生活质量提高及社会可持续发展提供科技支撑。</w:t>
      </w:r>
    </w:p>
    <w:p w14:paraId="4904C38E">
      <w:pPr>
        <w:keepNext w:val="0"/>
        <w:keepLines w:val="0"/>
        <w:pageBreakBefore w:val="0"/>
        <w:widowControl/>
        <w:kinsoku/>
        <w:wordWrap/>
        <w:overflowPunct/>
        <w:topLinePunct w:val="0"/>
        <w:autoSpaceDE/>
        <w:autoSpaceDN/>
        <w:bidi w:val="0"/>
        <w:snapToGrid/>
        <w:spacing w:line="540" w:lineRule="exact"/>
        <w:ind w:left="0" w:firstLine="640" w:firstLineChars="200"/>
        <w:textAlignment w:val="auto"/>
        <w:rPr>
          <w:rFonts w:hint="eastAsia" w:ascii="仿宋_GB2312" w:hAnsi="仿宋_GB2312" w:eastAsia="仿宋_GB2312" w:cs="仿宋_GB2312"/>
          <w:bCs/>
          <w:color w:val="auto"/>
          <w:kern w:val="0"/>
          <w:sz w:val="32"/>
          <w:szCs w:val="32"/>
        </w:rPr>
      </w:pPr>
      <w:r>
        <w:rPr>
          <w:rFonts w:hint="default" w:ascii="仿宋_GB2312" w:hAnsi="仿宋_GB2312" w:eastAsia="仿宋_GB2312" w:cs="仿宋_GB2312"/>
          <w:bCs/>
          <w:color w:val="auto"/>
          <w:kern w:val="0"/>
          <w:sz w:val="32"/>
          <w:szCs w:val="32"/>
          <w:lang w:eastAsia="zh-CN"/>
        </w:rPr>
        <w:t>本次项目为政策引导类计划，无财政科技资金支持</w:t>
      </w:r>
      <w:r>
        <w:rPr>
          <w:rFonts w:hint="eastAsia" w:ascii="仿宋_GB2312" w:hAnsi="仿宋_GB2312" w:eastAsia="仿宋_GB2312" w:cs="仿宋_GB2312"/>
          <w:bCs/>
          <w:color w:val="auto"/>
          <w:kern w:val="0"/>
          <w:sz w:val="32"/>
          <w:szCs w:val="32"/>
          <w:lang w:eastAsia="zh-CN"/>
        </w:rPr>
        <w:t>。</w:t>
      </w:r>
    </w:p>
    <w:p w14:paraId="43E467B0">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黑体" w:hAnsi="宋体" w:eastAsia="黑体" w:cs="宋体"/>
          <w:bCs/>
          <w:color w:val="auto"/>
          <w:kern w:val="0"/>
          <w:sz w:val="32"/>
          <w:szCs w:val="32"/>
        </w:rPr>
        <w:t>二、支持范围</w:t>
      </w:r>
    </w:p>
    <w:p w14:paraId="56E356E2">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eastAsia="zh-CN"/>
        </w:rPr>
        <w:t>1.</w:t>
      </w:r>
      <w:r>
        <w:rPr>
          <w:rFonts w:hint="eastAsia" w:ascii="仿宋_GB2312" w:hAnsi="仿宋_GB2312" w:eastAsia="仿宋_GB2312" w:cs="仿宋_GB2312"/>
          <w:bCs/>
          <w:color w:val="auto"/>
          <w:kern w:val="0"/>
          <w:sz w:val="32"/>
          <w:szCs w:val="32"/>
        </w:rPr>
        <w:t>农业技术攻关领域</w:t>
      </w:r>
    </w:p>
    <w:p w14:paraId="309B568A">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支持动植物新品种培育、种子及种苗规模化繁育技术，种植、养殖高效安全生产集成配套技术，标准化健康养殖和质量控制技术，农产品及食品加工、储藏与物流技术，农业和农村信息化技术，林木资源培育及林产加工技术，动植物疫病防控技术等方向。</w:t>
      </w:r>
    </w:p>
    <w:p w14:paraId="7AF93E9A">
      <w:pPr>
        <w:keepNext w:val="0"/>
        <w:keepLines w:val="0"/>
        <w:pageBreakBefore w:val="0"/>
        <w:widowControl/>
        <w:numPr>
          <w:ilvl w:val="0"/>
          <w:numId w:val="0"/>
        </w:numPr>
        <w:kinsoku/>
        <w:wordWrap/>
        <w:overflowPunct/>
        <w:topLinePunct w:val="0"/>
        <w:autoSpaceDE/>
        <w:autoSpaceDN/>
        <w:bidi w:val="0"/>
        <w:adjustRightInd w:val="0"/>
        <w:snapToGrid/>
        <w:spacing w:line="540" w:lineRule="exact"/>
        <w:ind w:left="0" w:firstLine="640" w:firstLineChars="200"/>
        <w:textAlignment w:val="auto"/>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val="en-US" w:eastAsia="zh-CN"/>
        </w:rPr>
        <w:t>2.</w:t>
      </w:r>
      <w:r>
        <w:rPr>
          <w:rFonts w:hint="eastAsia" w:ascii="仿宋_GB2312" w:hAnsi="仿宋_GB2312" w:eastAsia="仿宋_GB2312" w:cs="仿宋_GB2312"/>
          <w:bCs/>
          <w:color w:val="auto"/>
          <w:kern w:val="0"/>
          <w:sz w:val="32"/>
          <w:szCs w:val="32"/>
        </w:rPr>
        <w:t>社会发展领域</w:t>
      </w:r>
    </w:p>
    <w:p w14:paraId="52D807AA">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支持生物医药与现代中药、人口与健康、公共安全、安全生产、“双碳”、城市建设与交通发展、节能减排与生态环境保护、防灾减灾、电子商务及智慧城市等社会发展领域项目。</w:t>
      </w:r>
    </w:p>
    <w:p w14:paraId="6C192BA7">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lang w:val="en-US" w:eastAsia="zh-CN"/>
        </w:rPr>
        <w:t>3.</w:t>
      </w:r>
      <w:r>
        <w:rPr>
          <w:rFonts w:hint="eastAsia" w:ascii="仿宋_GB2312" w:hAnsi="仿宋_GB2312" w:eastAsia="仿宋_GB2312" w:cs="仿宋_GB2312"/>
          <w:bCs/>
          <w:color w:val="auto"/>
          <w:kern w:val="0"/>
          <w:sz w:val="32"/>
          <w:szCs w:val="32"/>
        </w:rPr>
        <w:t>其它领域</w:t>
      </w:r>
    </w:p>
    <w:p w14:paraId="6209CC36">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仿宋_GB2312" w:hAnsi="仿宋_GB2312" w:eastAsia="仿宋_GB2312" w:cs="仿宋_GB2312"/>
          <w:bCs/>
          <w:color w:val="auto"/>
          <w:kern w:val="0"/>
          <w:sz w:val="32"/>
          <w:szCs w:val="32"/>
        </w:rPr>
      </w:pPr>
      <w:r>
        <w:rPr>
          <w:rFonts w:hint="eastAsia" w:ascii="仿宋_GB2312" w:hAnsi="仿宋_GB2312" w:eastAsia="仿宋_GB2312" w:cs="仿宋_GB2312"/>
          <w:bCs/>
          <w:color w:val="auto"/>
          <w:kern w:val="0"/>
          <w:sz w:val="32"/>
          <w:szCs w:val="32"/>
        </w:rPr>
        <w:t>支持科技特派员作为项目负责人申报的农业科技项目；支持扎根乡村基层一线，进行科技服务、创业和创新扶贫的科技人员实施攻关、研发项目；支持</w:t>
      </w:r>
      <w:r>
        <w:rPr>
          <w:rFonts w:hint="eastAsia" w:eastAsia="仿宋_GB2312" w:cs="仿宋_GB2312"/>
          <w:bCs/>
          <w:color w:val="auto"/>
          <w:kern w:val="0"/>
          <w:sz w:val="32"/>
          <w:szCs w:val="32"/>
        </w:rPr>
        <w:t>马铃薯省级</w:t>
      </w:r>
      <w:r>
        <w:rPr>
          <w:rFonts w:hint="eastAsia" w:ascii="仿宋_GB2312" w:hAnsi="仿宋_GB2312" w:eastAsia="仿宋_GB2312" w:cs="仿宋_GB2312"/>
          <w:bCs/>
          <w:color w:val="auto"/>
          <w:kern w:val="0"/>
          <w:sz w:val="32"/>
          <w:szCs w:val="32"/>
        </w:rPr>
        <w:t>农业科技园区、可持续发展试验区内单位开展的特色产业关键技术研发。</w:t>
      </w:r>
    </w:p>
    <w:p w14:paraId="4FB3767A">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黑体" w:hAnsi="宋体" w:eastAsia="黑体" w:cs="宋体"/>
          <w:bCs/>
          <w:color w:val="auto"/>
          <w:kern w:val="0"/>
          <w:sz w:val="32"/>
          <w:szCs w:val="32"/>
        </w:rPr>
        <w:t>三、申报条件</w:t>
      </w:r>
    </w:p>
    <w:p w14:paraId="245D3FF4">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hint="eastAsia" w:ascii="宋体" w:hAnsi="宋体" w:eastAsia="仿宋_GB2312"/>
          <w:color w:val="auto"/>
          <w:kern w:val="0"/>
          <w:sz w:val="32"/>
          <w:szCs w:val="32"/>
          <w:lang w:eastAsia="zh-CN"/>
        </w:rPr>
      </w:pPr>
      <w:r>
        <w:rPr>
          <w:rFonts w:hint="eastAsia" w:ascii="仿宋_GB2312" w:hAnsi="仿宋_GB2312" w:eastAsia="仿宋_GB2312" w:cs="仿宋_GB2312"/>
          <w:bCs/>
          <w:color w:val="auto"/>
          <w:kern w:val="0"/>
          <w:sz w:val="32"/>
          <w:szCs w:val="32"/>
        </w:rPr>
        <w:t>1.在滕州市境内注册，具有法人资格并具备科研开发能力和条件的企业</w:t>
      </w:r>
      <w:r>
        <w:rPr>
          <w:rFonts w:hint="eastAsia" w:ascii="仿宋_GB2312" w:hAnsi="仿宋_GB2312" w:eastAsia="仿宋_GB2312" w:cs="仿宋_GB2312"/>
          <w:bCs/>
          <w:color w:val="auto"/>
          <w:kern w:val="0"/>
          <w:sz w:val="32"/>
          <w:szCs w:val="32"/>
          <w:lang w:eastAsia="zh-CN"/>
        </w:rPr>
        <w:t>、事业</w:t>
      </w:r>
      <w:r>
        <w:rPr>
          <w:rFonts w:hint="eastAsia" w:ascii="仿宋_GB2312" w:hAnsi="仿宋_GB2312" w:eastAsia="仿宋_GB2312" w:cs="仿宋_GB2312"/>
          <w:bCs/>
          <w:color w:val="auto"/>
          <w:kern w:val="0"/>
          <w:sz w:val="32"/>
          <w:szCs w:val="32"/>
        </w:rPr>
        <w:t>单位</w:t>
      </w:r>
      <w:r>
        <w:rPr>
          <w:rFonts w:hint="eastAsia" w:ascii="仿宋_GB2312" w:hAnsi="仿宋_GB2312" w:eastAsia="仿宋_GB2312" w:cs="仿宋_GB2312"/>
          <w:bCs/>
          <w:color w:val="auto"/>
          <w:kern w:val="0"/>
          <w:sz w:val="32"/>
          <w:szCs w:val="32"/>
          <w:lang w:eastAsia="zh-CN"/>
        </w:rPr>
        <w:t>、社会组织均可</w:t>
      </w:r>
      <w:r>
        <w:rPr>
          <w:rFonts w:hint="eastAsia" w:ascii="仿宋_GB2312" w:hAnsi="仿宋_GB2312" w:eastAsia="仿宋_GB2312" w:cs="仿宋_GB2312"/>
          <w:bCs/>
          <w:color w:val="auto"/>
          <w:kern w:val="0"/>
          <w:sz w:val="32"/>
          <w:szCs w:val="32"/>
        </w:rPr>
        <w:t>申报</w:t>
      </w:r>
      <w:r>
        <w:rPr>
          <w:rFonts w:hint="eastAsia" w:ascii="仿宋_GB2312" w:hAnsi="仿宋_GB2312" w:eastAsia="仿宋_GB2312" w:cs="仿宋_GB2312"/>
          <w:bCs/>
          <w:color w:val="auto"/>
          <w:kern w:val="0"/>
          <w:sz w:val="32"/>
          <w:szCs w:val="32"/>
          <w:lang w:eastAsia="zh-CN"/>
        </w:rPr>
        <w:t>。</w:t>
      </w:r>
    </w:p>
    <w:p w14:paraId="491D63A6">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2.项目负责人应为项目申报单位的在职人员，每人只能主持申报一个项目，不得多报；</w:t>
      </w:r>
    </w:p>
    <w:p w14:paraId="7B360CCE">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3.项目应符合国家产业政策，技术含量高，创新性强；</w:t>
      </w:r>
    </w:p>
    <w:p w14:paraId="66926EA0">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4.鼓励项目单位与科研院所、高校联合申报；</w:t>
      </w:r>
    </w:p>
    <w:p w14:paraId="69952EFB">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5.申报单位应具有健全的财务管理制度和专业的财务管理人员。</w:t>
      </w:r>
    </w:p>
    <w:p w14:paraId="5A4007A1">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黑体" w:hAnsi="宋体" w:eastAsia="黑体" w:cs="宋体"/>
          <w:bCs/>
          <w:color w:val="auto"/>
          <w:kern w:val="0"/>
          <w:sz w:val="32"/>
          <w:szCs w:val="32"/>
        </w:rPr>
        <w:t>四、申报材料</w:t>
      </w:r>
    </w:p>
    <w:p w14:paraId="17232491">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申报单位应认真填报滕州市应用技术研究与开发计划项目申报材料，主要内容包括：</w:t>
      </w:r>
    </w:p>
    <w:p w14:paraId="6424325F">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eastAsia="仿宋_GB2312"/>
          <w:color w:val="auto"/>
          <w:kern w:val="0"/>
          <w:sz w:val="32"/>
          <w:szCs w:val="32"/>
        </w:rPr>
      </w:pPr>
      <w:r>
        <w:rPr>
          <w:rFonts w:hint="eastAsia" w:ascii="仿宋_GB2312" w:hAnsi="仿宋_GB2312" w:eastAsia="仿宋_GB2312" w:cs="仿宋_GB2312"/>
          <w:bCs/>
          <w:color w:val="auto"/>
          <w:kern w:val="0"/>
          <w:sz w:val="32"/>
          <w:szCs w:val="32"/>
          <w:lang w:eastAsia="zh-CN"/>
        </w:rPr>
        <w:t>1.</w:t>
      </w:r>
      <w:r>
        <w:rPr>
          <w:rFonts w:hint="eastAsia" w:ascii="仿宋_GB2312" w:hAnsi="仿宋_GB2312" w:eastAsia="仿宋_GB2312" w:cs="仿宋_GB2312"/>
          <w:bCs/>
          <w:color w:val="auto"/>
          <w:kern w:val="0"/>
          <w:sz w:val="32"/>
          <w:szCs w:val="32"/>
        </w:rPr>
        <w:t>《滕州市应用技术研究与开发计划项目申报书》；</w:t>
      </w:r>
    </w:p>
    <w:p w14:paraId="7CA472BF">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lang w:eastAsia="zh-CN"/>
        </w:rPr>
        <w:t>2.</w:t>
      </w:r>
      <w:r>
        <w:rPr>
          <w:rFonts w:hint="eastAsia" w:ascii="仿宋_GB2312" w:hAnsi="仿宋_GB2312" w:eastAsia="仿宋_GB2312" w:cs="仿宋_GB2312"/>
          <w:bCs/>
          <w:color w:val="auto"/>
          <w:kern w:val="0"/>
          <w:sz w:val="32"/>
          <w:szCs w:val="32"/>
        </w:rPr>
        <w:t>相关附件：单位营业执照、组织机构代码证、</w:t>
      </w:r>
      <w:r>
        <w:rPr>
          <w:rFonts w:ascii="仿宋_GB2312" w:hAnsi="宋体" w:eastAsia="仿宋_GB2312" w:cs="仿宋_GB2312"/>
          <w:color w:val="auto"/>
          <w:kern w:val="0"/>
          <w:sz w:val="32"/>
          <w:szCs w:val="32"/>
          <w:shd w:val="clear" w:color="auto" w:fill="FFFFFF"/>
        </w:rPr>
        <w:t>项目投资中自筹证明材料、申报前一个月的企业会计报表、</w:t>
      </w:r>
      <w:r>
        <w:rPr>
          <w:rFonts w:hint="eastAsia" w:ascii="仿宋_GB2312" w:hAnsi="仿宋_GB2312" w:eastAsia="仿宋_GB2312" w:cs="仿宋_GB2312"/>
          <w:bCs/>
          <w:color w:val="auto"/>
          <w:kern w:val="0"/>
          <w:sz w:val="32"/>
          <w:szCs w:val="32"/>
        </w:rPr>
        <w:t>各种认证证书等。</w:t>
      </w:r>
    </w:p>
    <w:p w14:paraId="0EA10F47">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黑体" w:hAnsi="宋体" w:eastAsia="黑体" w:cs="宋体"/>
          <w:bCs/>
          <w:color w:val="auto"/>
          <w:kern w:val="0"/>
          <w:sz w:val="32"/>
          <w:szCs w:val="32"/>
        </w:rPr>
        <w:t>五、申报方式</w:t>
      </w:r>
    </w:p>
    <w:p w14:paraId="6D699480">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《申报材料》需装订成册，一式两份并加盖公章后上报，同时上报电子版。</w:t>
      </w:r>
    </w:p>
    <w:p w14:paraId="3988E3B5">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ascii="宋体" w:hAnsi="宋体"/>
          <w:color w:val="auto"/>
          <w:kern w:val="0"/>
          <w:sz w:val="32"/>
          <w:szCs w:val="32"/>
        </w:rPr>
      </w:pPr>
      <w:r>
        <w:rPr>
          <w:rFonts w:hint="eastAsia" w:ascii="仿宋_GB2312" w:hAnsi="仿宋_GB2312" w:eastAsia="仿宋_GB2312" w:cs="仿宋_GB2312"/>
          <w:bCs/>
          <w:color w:val="auto"/>
          <w:kern w:val="0"/>
          <w:sz w:val="32"/>
          <w:szCs w:val="32"/>
        </w:rPr>
        <w:t>报送地点：市科技局农村与社会发展室（政务中心</w:t>
      </w:r>
      <w:r>
        <w:rPr>
          <w:rFonts w:hint="eastAsia" w:ascii="仿宋_GB2312" w:hAnsi="仿宋_GB2312" w:eastAsia="仿宋_GB2312" w:cs="仿宋_GB2312"/>
          <w:bCs/>
          <w:color w:val="auto"/>
          <w:kern w:val="0"/>
          <w:sz w:val="32"/>
          <w:szCs w:val="32"/>
          <w:lang w:eastAsia="zh-CN"/>
        </w:rPr>
        <w:t>A42</w:t>
      </w:r>
      <w:r>
        <w:rPr>
          <w:rFonts w:hint="eastAsia" w:ascii="仿宋_GB2312" w:hAnsi="仿宋_GB2312" w:eastAsia="仿宋_GB2312" w:cs="仿宋_GB2312"/>
          <w:bCs/>
          <w:color w:val="auto"/>
          <w:kern w:val="0"/>
          <w:sz w:val="32"/>
          <w:szCs w:val="32"/>
          <w:lang w:val="en-US" w:eastAsia="zh-CN"/>
        </w:rPr>
        <w:t>5西</w:t>
      </w:r>
      <w:r>
        <w:rPr>
          <w:rFonts w:hint="eastAsia" w:ascii="仿宋_GB2312" w:hAnsi="仿宋_GB2312" w:eastAsia="仿宋_GB2312" w:cs="仿宋_GB2312"/>
          <w:bCs/>
          <w:color w:val="auto"/>
          <w:kern w:val="0"/>
          <w:sz w:val="32"/>
          <w:szCs w:val="32"/>
        </w:rPr>
        <w:t>房间）</w:t>
      </w:r>
    </w:p>
    <w:p w14:paraId="660F9F03">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hint="eastAsia" w:ascii="仿宋_GB2312" w:hAnsi="仿宋_GB2312" w:eastAsia="仿宋_GB2312" w:cs="仿宋_GB2312"/>
          <w:bCs/>
          <w:color w:val="auto"/>
          <w:kern w:val="0"/>
          <w:sz w:val="32"/>
          <w:szCs w:val="32"/>
          <w:lang w:eastAsia="zh-CN"/>
        </w:rPr>
      </w:pPr>
      <w:r>
        <w:rPr>
          <w:rFonts w:hint="eastAsia" w:ascii="仿宋_GB2312" w:hAnsi="仿宋_GB2312" w:eastAsia="仿宋_GB2312" w:cs="仿宋_GB2312"/>
          <w:bCs/>
          <w:color w:val="auto"/>
          <w:kern w:val="0"/>
          <w:sz w:val="32"/>
          <w:szCs w:val="32"/>
        </w:rPr>
        <w:t>联系人：孙敏</w:t>
      </w:r>
    </w:p>
    <w:p w14:paraId="4D4D96FE">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hint="default" w:ascii="宋体" w:hAnsi="宋体" w:eastAsia="仿宋_GB2312"/>
          <w:color w:val="auto"/>
          <w:kern w:val="0"/>
          <w:sz w:val="32"/>
          <w:szCs w:val="32"/>
          <w:lang w:val="en-US" w:eastAsia="zh-CN"/>
        </w:rPr>
      </w:pPr>
      <w:r>
        <w:rPr>
          <w:rFonts w:hint="eastAsia" w:ascii="仿宋_GB2312" w:hAnsi="仿宋_GB2312" w:eastAsia="仿宋_GB2312" w:cs="仿宋_GB2312"/>
          <w:bCs/>
          <w:color w:val="auto"/>
          <w:kern w:val="0"/>
          <w:sz w:val="32"/>
          <w:szCs w:val="32"/>
        </w:rPr>
        <w:t>联系电话：5888</w:t>
      </w:r>
      <w:r>
        <w:rPr>
          <w:rFonts w:hint="eastAsia" w:ascii="仿宋_GB2312" w:hAnsi="仿宋_GB2312" w:eastAsia="仿宋_GB2312" w:cs="仿宋_GB2312"/>
          <w:bCs/>
          <w:color w:val="auto"/>
          <w:kern w:val="0"/>
          <w:sz w:val="32"/>
          <w:szCs w:val="32"/>
          <w:lang w:val="en-US" w:eastAsia="zh-CN"/>
        </w:rPr>
        <w:t>220</w:t>
      </w:r>
    </w:p>
    <w:p w14:paraId="20D4B41C">
      <w:pPr>
        <w:keepNext w:val="0"/>
        <w:keepLines w:val="0"/>
        <w:pageBreakBefore w:val="0"/>
        <w:widowControl/>
        <w:kinsoku/>
        <w:wordWrap/>
        <w:overflowPunct/>
        <w:topLinePunct w:val="0"/>
        <w:autoSpaceDE/>
        <w:autoSpaceDN/>
        <w:bidi w:val="0"/>
        <w:adjustRightInd w:val="0"/>
        <w:snapToGrid/>
        <w:spacing w:line="540" w:lineRule="exact"/>
        <w:ind w:left="0" w:firstLine="640" w:firstLineChars="200"/>
        <w:textAlignment w:val="auto"/>
        <w:rPr>
          <w:rFonts w:hint="eastAsia" w:ascii="仿宋_GB2312" w:hAnsi="仿宋_GB2312" w:eastAsia="仿宋_GB2312" w:cs="仿宋_GB2312"/>
          <w:bCs/>
          <w:color w:val="auto"/>
          <w:kern w:val="0"/>
          <w:sz w:val="32"/>
          <w:szCs w:val="32"/>
        </w:rPr>
        <w:sectPr>
          <w:pgSz w:w="11906" w:h="16838"/>
          <w:pgMar w:top="1587" w:right="1587" w:bottom="1587" w:left="1587" w:header="851" w:footer="992" w:gutter="0"/>
          <w:pgNumType w:fmt="decimal"/>
          <w:cols w:space="425" w:num="1"/>
          <w:docGrid w:type="lines" w:linePitch="312" w:charSpace="0"/>
        </w:sectPr>
      </w:pPr>
      <w:r>
        <w:rPr>
          <w:rFonts w:hint="eastAsia" w:ascii="仿宋_GB2312" w:hAnsi="仿宋_GB2312" w:eastAsia="仿宋_GB2312" w:cs="仿宋_GB2312"/>
          <w:bCs/>
          <w:color w:val="auto"/>
          <w:kern w:val="0"/>
          <w:sz w:val="32"/>
          <w:szCs w:val="32"/>
        </w:rPr>
        <w:t>电子邮箱：tzkjnsk@163.com</w:t>
      </w:r>
    </w:p>
    <w:p w14:paraId="27B5E206">
      <w:pPr>
        <w:keepNext w:val="0"/>
        <w:keepLines w:val="0"/>
        <w:pageBreakBefore w:val="0"/>
        <w:widowControl/>
        <w:kinsoku/>
        <w:wordWrap/>
        <w:overflowPunct/>
        <w:topLinePunct w:val="0"/>
        <w:autoSpaceDE/>
        <w:autoSpaceDN/>
        <w:bidi w:val="0"/>
        <w:adjustRightInd w:val="0"/>
        <w:snapToGrid/>
        <w:spacing w:beforeAutospacing="0" w:afterAutospacing="0" w:line="560" w:lineRule="exact"/>
        <w:jc w:val="center"/>
        <w:textAlignment w:val="auto"/>
        <w:rPr>
          <w:rFonts w:hint="eastAsia" w:ascii="黑体" w:hAnsi="宋体" w:eastAsia="黑体" w:cs="宋体"/>
          <w:bCs/>
          <w:color w:val="auto"/>
          <w:kern w:val="0"/>
          <w:sz w:val="44"/>
          <w:szCs w:val="44"/>
          <w:lang w:val="en-US" w:eastAsia="zh-CN"/>
        </w:rPr>
      </w:pPr>
      <w:r>
        <w:rPr>
          <w:rFonts w:hint="eastAsia" w:ascii="黑体" w:hAnsi="宋体" w:eastAsia="黑体" w:cs="宋体"/>
          <w:bCs/>
          <w:color w:val="auto"/>
          <w:kern w:val="0"/>
          <w:sz w:val="44"/>
          <w:szCs w:val="44"/>
          <w:lang w:val="en-US" w:eastAsia="zh-CN"/>
        </w:rPr>
        <w:t>滕州市软科学研究计划申报指南</w:t>
      </w:r>
    </w:p>
    <w:p w14:paraId="68C954A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楷体_GB2312" w:hAnsi="宋体" w:eastAsia="楷体_GB2312" w:cs="楷体_GB2312"/>
          <w:b w:val="0"/>
          <w:i w:val="0"/>
          <w:caps w:val="0"/>
          <w:color w:val="auto"/>
          <w:spacing w:val="0"/>
          <w:kern w:val="0"/>
          <w:sz w:val="32"/>
          <w:szCs w:val="32"/>
          <w:shd w:val="clear" w:color="auto" w:fill="FFFFFF"/>
          <w:lang w:val="en-US" w:eastAsia="zh-CN"/>
        </w:rPr>
        <w:t> </w:t>
      </w:r>
    </w:p>
    <w:p w14:paraId="45D0A6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一、计划概述</w:t>
      </w:r>
    </w:p>
    <w:p w14:paraId="5AD56CB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软科学研究计划是深入贯彻落实习近平新时代中国特色社会主义思想和国家、省、市重大战略部署，</w:t>
      </w:r>
      <w:r>
        <w:rPr>
          <w:rFonts w:hint="default" w:ascii="Times New Roman" w:hAnsi="Times New Roman" w:eastAsia="仿宋_GB2312" w:cs="Times New Roman"/>
          <w:color w:val="auto"/>
          <w:sz w:val="32"/>
          <w:szCs w:val="32"/>
        </w:rPr>
        <w:t>坚持</w:t>
      </w:r>
      <w:r>
        <w:rPr>
          <w:rFonts w:hint="eastAsia" w:ascii="Times New Roman" w:hAnsi="Times New Roman" w:eastAsia="仿宋_GB2312" w:cs="Times New Roman"/>
          <w:color w:val="auto"/>
          <w:sz w:val="32"/>
          <w:szCs w:val="32"/>
          <w:lang w:val="en-US" w:eastAsia="zh-CN"/>
        </w:rPr>
        <w:t>科技创新</w:t>
      </w:r>
      <w:r>
        <w:rPr>
          <w:rFonts w:hint="default" w:ascii="Times New Roman" w:hAnsi="Times New Roman" w:eastAsia="仿宋_GB2312" w:cs="Times New Roman"/>
          <w:color w:val="auto"/>
          <w:sz w:val="32"/>
          <w:szCs w:val="32"/>
        </w:rPr>
        <w:t>“四个面向”战略导向，</w:t>
      </w:r>
      <w:r>
        <w:rPr>
          <w:rFonts w:hint="default" w:ascii="仿宋_GB2312" w:hAnsi="宋体" w:eastAsia="仿宋_GB2312" w:cs="仿宋_GB2312"/>
          <w:b w:val="0"/>
          <w:i w:val="0"/>
          <w:caps w:val="0"/>
          <w:color w:val="auto"/>
          <w:spacing w:val="0"/>
          <w:kern w:val="0"/>
          <w:sz w:val="32"/>
          <w:szCs w:val="32"/>
          <w:shd w:val="clear" w:color="auto" w:fill="FFFFFF"/>
          <w:lang w:val="en-US" w:eastAsia="zh-CN"/>
        </w:rPr>
        <w:t>针对我市科技、经济、社会发展的战略性、全局性、前瞻性重大问题，综合运用自然科学、社会科学和工程</w:t>
      </w:r>
    </w:p>
    <w:p w14:paraId="29064E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right="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技术的多门类多学科知识，运用定性和定量相结合的系统分析和论证手段，以解决实际问题、推进决策应用为导向，组织的一类立足实践、面向决策的涉及多学科、多层次综合性研究计划</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旨在为全市经济社会发展提供</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决策参考和</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宏观咨询服务。</w:t>
      </w:r>
    </w:p>
    <w:p w14:paraId="1CE3F59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right="0" w:firstLine="640" w:firstLineChars="200"/>
        <w:jc w:val="both"/>
        <w:textAlignment w:val="auto"/>
        <w:outlineLvl w:val="9"/>
        <w:rPr>
          <w:rFonts w:hint="default"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仿宋_GB2312" w:eastAsia="仿宋_GB2312" w:cs="仿宋_GB2312"/>
          <w:bCs/>
          <w:color w:val="auto"/>
          <w:kern w:val="0"/>
          <w:sz w:val="32"/>
          <w:szCs w:val="32"/>
          <w:lang w:eastAsia="zh-CN"/>
        </w:rPr>
        <w:t>本次项目为政策引导类计划，无财政科技资金支持</w:t>
      </w:r>
      <w:r>
        <w:rPr>
          <w:rFonts w:hint="eastAsia" w:ascii="仿宋_GB2312" w:hAnsi="仿宋_GB2312" w:eastAsia="仿宋_GB2312" w:cs="仿宋_GB2312"/>
          <w:bCs/>
          <w:color w:val="auto"/>
          <w:kern w:val="0"/>
          <w:sz w:val="32"/>
          <w:szCs w:val="32"/>
          <w:lang w:eastAsia="zh-CN"/>
        </w:rPr>
        <w:t>。</w:t>
      </w:r>
    </w:p>
    <w:p w14:paraId="544D02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二、支持范围</w:t>
      </w:r>
    </w:p>
    <w:p w14:paraId="30B8E60B">
      <w:pPr>
        <w:keepNext w:val="0"/>
        <w:keepLines w:val="0"/>
        <w:pageBreakBefore w:val="0"/>
        <w:widowControl/>
        <w:suppressLineNumbers w:val="0"/>
        <w:kinsoku/>
        <w:wordWrap/>
        <w:overflowPunct/>
        <w:topLinePunct w:val="0"/>
        <w:autoSpaceDE/>
        <w:autoSpaceDN/>
        <w:bidi w:val="0"/>
        <w:adjustRightInd/>
        <w:snapToGrid/>
        <w:spacing w:line="540" w:lineRule="exact"/>
        <w:ind w:left="0" w:firstLine="640" w:firstLineChars="200"/>
        <w:jc w:val="left"/>
        <w:textAlignment w:val="auto"/>
        <w:rPr>
          <w:rFonts w:hint="default"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支持创新驱动发展、区域协调发展、</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经济社会综合发展、县域经济高质量发展、黄河流域生态保护和高质量发展、创新引领可持续发展、科技支撑乡村振兴、区域创新与创新载体、</w:t>
      </w:r>
      <w:r>
        <w:rPr>
          <w:rFonts w:ascii="仿宋_GB2312" w:hAnsi="宋体" w:eastAsia="仿宋_GB2312" w:cs="仿宋_GB2312"/>
          <w:color w:val="auto"/>
          <w:kern w:val="0"/>
          <w:sz w:val="31"/>
          <w:szCs w:val="31"/>
          <w:lang w:val="en-US" w:eastAsia="zh-CN"/>
        </w:rPr>
        <w:t>社会发展和民生科技</w:t>
      </w:r>
      <w:r>
        <w:rPr>
          <w:rFonts w:hint="eastAsia" w:ascii="仿宋_GB2312" w:hAnsi="宋体" w:eastAsia="仿宋_GB2312" w:cs="仿宋_GB2312"/>
          <w:color w:val="auto"/>
          <w:kern w:val="0"/>
          <w:sz w:val="31"/>
          <w:szCs w:val="31"/>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w:t>
      </w:r>
      <w:r>
        <w:rPr>
          <w:rFonts w:ascii="仿宋_GB2312" w:hAnsi="宋体" w:eastAsia="仿宋_GB2312" w:cs="仿宋_GB2312"/>
          <w:i w:val="0"/>
          <w:iCs w:val="0"/>
          <w:caps w:val="0"/>
          <w:color w:val="auto"/>
          <w:spacing w:val="0"/>
          <w:sz w:val="31"/>
          <w:szCs w:val="31"/>
          <w:shd w:val="clear" w:color="auto" w:fill="FFFFFF"/>
        </w:rPr>
        <w:t>化机锂医数”产业</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发展、创新型县（市）建设、</w:t>
      </w:r>
      <w:r>
        <w:rPr>
          <w:rFonts w:ascii="仿宋_GB2312" w:hAnsi="宋体" w:eastAsia="仿宋_GB2312" w:cs="仿宋_GB2312"/>
          <w:i w:val="0"/>
          <w:iCs w:val="0"/>
          <w:caps w:val="0"/>
          <w:color w:val="auto"/>
          <w:spacing w:val="0"/>
          <w:sz w:val="31"/>
          <w:szCs w:val="31"/>
          <w:shd w:val="clear" w:color="auto" w:fill="FFFFFF"/>
        </w:rPr>
        <w:t>农业高新技术开发区</w:t>
      </w:r>
      <w:r>
        <w:rPr>
          <w:rFonts w:hint="eastAsia" w:ascii="仿宋_GB2312" w:hAnsi="宋体" w:eastAsia="仿宋_GB2312" w:cs="仿宋_GB2312"/>
          <w:i w:val="0"/>
          <w:iCs w:val="0"/>
          <w:caps w:val="0"/>
          <w:color w:val="auto"/>
          <w:spacing w:val="0"/>
          <w:sz w:val="31"/>
          <w:szCs w:val="31"/>
          <w:shd w:val="clear" w:color="auto" w:fill="FFFFFF"/>
          <w:lang w:val="en-US" w:eastAsia="zh-CN"/>
        </w:rPr>
        <w:t>创建</w:t>
      </w:r>
      <w:r>
        <w:rPr>
          <w:rFonts w:hint="eastAsia" w:ascii="仿宋_GB2312" w:hAnsi="宋体" w:eastAsia="仿宋_GB2312" w:cs="仿宋_GB2312"/>
          <w:i w:val="0"/>
          <w:iCs w:val="0"/>
          <w:caps w:val="0"/>
          <w:color w:val="auto"/>
          <w:spacing w:val="0"/>
          <w:sz w:val="31"/>
          <w:szCs w:val="31"/>
          <w:shd w:val="clear" w:color="auto" w:fill="FFFFFF"/>
          <w:lang w:eastAsia="zh-CN"/>
        </w:rPr>
        <w:t>、</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科技与经济融合发展、科技与文化融合发展、企业创新与产学研融合发展、科教融合、产教融合、</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碳达峰碳中和应对</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、强化企业科技创新主体地位、科技合作与科技人才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等领域研究的课题，可以自行设计题目和具体研究内容</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支持系统掌握第一手资料，有数据、有分析、有可操作性决策建议的调查分析类等方面的软科学研究项目。</w:t>
      </w:r>
    </w:p>
    <w:p w14:paraId="54EC19D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黑体" w:hAnsi="宋体" w:eastAsia="黑体" w:cs="黑体"/>
          <w:b w:val="0"/>
          <w:i w:val="0"/>
          <w:caps w:val="0"/>
          <w:color w:val="auto"/>
          <w:spacing w:val="0"/>
          <w:kern w:val="0"/>
          <w:sz w:val="32"/>
          <w:szCs w:val="32"/>
          <w:shd w:val="clear" w:color="auto" w:fill="FFFFFF"/>
          <w:lang w:val="en-US" w:eastAsia="zh-CN"/>
        </w:rPr>
      </w:pPr>
    </w:p>
    <w:p w14:paraId="29DF4AE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三、申报条件</w:t>
      </w:r>
    </w:p>
    <w:p w14:paraId="6B5F340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3" w:firstLineChars="200"/>
        <w:jc w:val="both"/>
        <w:textAlignment w:val="auto"/>
        <w:outlineLvl w:val="9"/>
        <w:rPr>
          <w:rFonts w:hint="eastAsia" w:ascii="楷体_GB2312" w:hAnsi="楷体_GB2312" w:eastAsia="楷体_GB2312" w:cs="楷体_GB2312"/>
          <w:b/>
          <w:bCs/>
          <w:i w:val="0"/>
          <w:caps w:val="0"/>
          <w:color w:val="auto"/>
          <w:spacing w:val="0"/>
          <w:sz w:val="32"/>
          <w:szCs w:val="32"/>
        </w:rPr>
      </w:pPr>
      <w:r>
        <w:rPr>
          <w:rFonts w:hint="eastAsia" w:ascii="楷体_GB2312" w:hAnsi="楷体_GB2312" w:eastAsia="楷体_GB2312" w:cs="楷体_GB2312"/>
          <w:b/>
          <w:bCs/>
          <w:i w:val="0"/>
          <w:caps w:val="0"/>
          <w:color w:val="auto"/>
          <w:spacing w:val="0"/>
          <w:kern w:val="0"/>
          <w:sz w:val="32"/>
          <w:szCs w:val="32"/>
          <w:shd w:val="clear" w:color="auto" w:fill="FFFFFF"/>
          <w:lang w:val="en-US" w:eastAsia="zh-CN"/>
        </w:rPr>
        <w:t>1.申请单位应具有以下条件：</w:t>
      </w:r>
    </w:p>
    <w:p w14:paraId="338792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（1）项目申报单位应为滕州市内具有独立法人资格的科研机构、行政事业单位和企业</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、社会组织</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等</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3519195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（2）项目申请人及其研究团队应有与项目研究有关的工作经历或专业背景，并具备开展相关调研的条件和能力</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123D062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3" w:firstLineChars="200"/>
        <w:jc w:val="both"/>
        <w:textAlignment w:val="auto"/>
        <w:outlineLvl w:val="9"/>
        <w:rPr>
          <w:rFonts w:hint="eastAsia" w:ascii="楷体_GB2312" w:hAnsi="楷体_GB2312" w:eastAsia="楷体_GB2312" w:cs="楷体_GB2312"/>
          <w:b/>
          <w:bCs/>
          <w:i w:val="0"/>
          <w:caps w:val="0"/>
          <w:color w:val="auto"/>
          <w:spacing w:val="0"/>
          <w:kern w:val="0"/>
          <w:sz w:val="32"/>
          <w:szCs w:val="32"/>
          <w:shd w:val="clear" w:color="auto" w:fill="FFFFFF"/>
          <w:lang w:val="en-US" w:eastAsia="zh-CN"/>
        </w:rPr>
      </w:pPr>
      <w:r>
        <w:rPr>
          <w:rFonts w:hint="default" w:ascii="楷体_GB2312" w:hAnsi="楷体_GB2312" w:eastAsia="楷体_GB2312" w:cs="楷体_GB2312"/>
          <w:b/>
          <w:bCs/>
          <w:i w:val="0"/>
          <w:caps w:val="0"/>
          <w:color w:val="auto"/>
          <w:spacing w:val="0"/>
          <w:kern w:val="0"/>
          <w:sz w:val="32"/>
          <w:szCs w:val="32"/>
          <w:shd w:val="clear" w:color="auto" w:fill="FFFFFF"/>
          <w:lang w:val="en-US" w:eastAsia="zh-CN"/>
        </w:rPr>
        <w:t>2</w:t>
      </w:r>
      <w:r>
        <w:rPr>
          <w:rFonts w:hint="eastAsia" w:ascii="楷体_GB2312" w:hAnsi="楷体_GB2312" w:eastAsia="楷体_GB2312" w:cs="楷体_GB2312"/>
          <w:b/>
          <w:bCs/>
          <w:i w:val="0"/>
          <w:caps w:val="0"/>
          <w:color w:val="auto"/>
          <w:spacing w:val="0"/>
          <w:kern w:val="0"/>
          <w:sz w:val="32"/>
          <w:szCs w:val="32"/>
          <w:shd w:val="clear" w:color="auto" w:fill="FFFFFF"/>
          <w:lang w:val="en-US" w:eastAsia="zh-CN"/>
        </w:rPr>
        <w:t>.</w:t>
      </w:r>
      <w:r>
        <w:rPr>
          <w:rFonts w:hint="default" w:ascii="楷体_GB2312" w:hAnsi="楷体_GB2312" w:eastAsia="楷体_GB2312" w:cs="楷体_GB2312"/>
          <w:b/>
          <w:bCs/>
          <w:i w:val="0"/>
          <w:caps w:val="0"/>
          <w:color w:val="auto"/>
          <w:spacing w:val="0"/>
          <w:kern w:val="0"/>
          <w:sz w:val="32"/>
          <w:szCs w:val="32"/>
          <w:shd w:val="clear" w:color="auto" w:fill="FFFFFF"/>
          <w:lang w:val="en-US" w:eastAsia="zh-CN"/>
        </w:rPr>
        <w:t>申报项目应具有以下条件：</w:t>
      </w:r>
    </w:p>
    <w:p w14:paraId="6127096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（1）项目选题要以决策应用为导向，应提出具有创新性、针对性、应效性和可操作性的方案，并提出初步的对策与措施</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申报项目和研究报告引用或提供的数据应以最新数据为主，并保证真实、权威</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6197D89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（2）</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每</w:t>
      </w:r>
      <w:r>
        <w:rPr>
          <w:rFonts w:hint="default" w:ascii="仿宋_GB2312" w:hAnsi="宋体" w:eastAsia="仿宋_GB2312" w:cs="仿宋_GB2312"/>
          <w:b w:val="0"/>
          <w:i w:val="0"/>
          <w:caps w:val="0"/>
          <w:color w:val="auto"/>
          <w:spacing w:val="0"/>
          <w:kern w:val="0"/>
          <w:sz w:val="32"/>
          <w:szCs w:val="32"/>
          <w:shd w:val="clear" w:color="auto" w:fill="FFFFFF"/>
          <w:lang w:val="en-US" w:eastAsia="zh-CN"/>
        </w:rPr>
        <w:t>个单位</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限</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报一个项目</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0D5A10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（3）有本计划在研项目的负责人不</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参与</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申报本年度项目，一个项目负责人限报一个项目，参与申报的项目合计不得超过两项</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0A46ACE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（4）项目在结题</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时需递</w:t>
      </w:r>
      <w:r>
        <w:rPr>
          <w:rFonts w:hint="default" w:ascii="仿宋_GB2312" w:hAnsi="宋体" w:eastAsia="仿宋_GB2312" w:cs="仿宋_GB2312"/>
          <w:b w:val="0"/>
          <w:i w:val="0"/>
          <w:caps w:val="0"/>
          <w:color w:val="auto"/>
          <w:spacing w:val="0"/>
          <w:kern w:val="0"/>
          <w:sz w:val="32"/>
          <w:szCs w:val="32"/>
          <w:shd w:val="clear" w:color="auto" w:fill="FFFFFF"/>
          <w:lang w:val="en-US" w:eastAsia="zh-CN"/>
        </w:rPr>
        <w:t>交相关论文、知识产权证明（专利、版权等）、应用证明、领导批示</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、调研总结报告</w:t>
      </w:r>
      <w:r>
        <w:rPr>
          <w:rFonts w:hint="default" w:ascii="仿宋_GB2312" w:hAnsi="宋体" w:eastAsia="仿宋_GB2312" w:cs="仿宋_GB2312"/>
          <w:b w:val="0"/>
          <w:i w:val="0"/>
          <w:caps w:val="0"/>
          <w:color w:val="auto"/>
          <w:spacing w:val="0"/>
          <w:kern w:val="0"/>
          <w:sz w:val="32"/>
          <w:szCs w:val="32"/>
          <w:shd w:val="clear" w:color="auto" w:fill="FFFFFF"/>
          <w:lang w:val="en-US" w:eastAsia="zh-CN"/>
        </w:rPr>
        <w:t>等证明材料中1项。</w:t>
      </w:r>
    </w:p>
    <w:p w14:paraId="7D01C3B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四、申报材料</w:t>
      </w:r>
    </w:p>
    <w:p w14:paraId="15D773E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申请单位应认真编写滕州市软科学研究申报书，主要内容有：</w:t>
      </w:r>
    </w:p>
    <w:p w14:paraId="5560D67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1</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《滕州市软科学研究计划申</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报</w:t>
      </w:r>
      <w:r>
        <w:rPr>
          <w:rFonts w:hint="default" w:ascii="仿宋_GB2312" w:hAnsi="宋体" w:eastAsia="仿宋_GB2312" w:cs="仿宋_GB2312"/>
          <w:b w:val="0"/>
          <w:i w:val="0"/>
          <w:caps w:val="0"/>
          <w:color w:val="auto"/>
          <w:spacing w:val="0"/>
          <w:kern w:val="0"/>
          <w:sz w:val="32"/>
          <w:szCs w:val="32"/>
          <w:shd w:val="clear" w:color="auto" w:fill="FFFFFF"/>
          <w:lang w:val="en-US" w:eastAsia="zh-CN"/>
        </w:rPr>
        <w:t>书》</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p>
    <w:p w14:paraId="79726C7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2</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有关附件：与申报项目相关的论文、荣誉证书以及能够证明申报单位良好研究基础的相关材料。</w:t>
      </w:r>
    </w:p>
    <w:p w14:paraId="56E0B60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黑体" w:hAnsi="宋体" w:eastAsia="黑体" w:cs="黑体"/>
          <w:b w:val="0"/>
          <w:i w:val="0"/>
          <w:caps w:val="0"/>
          <w:color w:val="auto"/>
          <w:spacing w:val="0"/>
          <w:kern w:val="0"/>
          <w:sz w:val="32"/>
          <w:szCs w:val="32"/>
          <w:shd w:val="clear" w:color="auto" w:fill="FFFFFF"/>
          <w:lang w:val="en-US" w:eastAsia="zh-CN"/>
        </w:rPr>
        <w:t>五、申报方式</w:t>
      </w:r>
    </w:p>
    <w:p w14:paraId="2955AC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申报材料，胶装</w:t>
      </w:r>
      <w:r>
        <w:rPr>
          <w:rFonts w:hint="default" w:ascii="仿宋_GB2312" w:hAnsi="宋体" w:eastAsia="仿宋_GB2312" w:cs="仿宋_GB2312"/>
          <w:b w:val="0"/>
          <w:i w:val="0"/>
          <w:caps w:val="0"/>
          <w:color w:val="auto"/>
          <w:spacing w:val="0"/>
          <w:kern w:val="0"/>
          <w:sz w:val="32"/>
          <w:szCs w:val="32"/>
          <w:shd w:val="clear" w:color="auto" w:fill="FFFFFF"/>
          <w:lang w:val="en-US" w:eastAsia="zh-CN"/>
        </w:rPr>
        <w:t>一式两份</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加盖</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申报单位</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公章后上报，同时上报电子版。</w:t>
      </w:r>
    </w:p>
    <w:p w14:paraId="1C96CD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宋体" w:hAnsi="宋体" w:eastAsia="宋体" w:cs="宋体"/>
          <w:b w:val="0"/>
          <w:i w:val="0"/>
          <w:caps w:val="0"/>
          <w:color w:val="auto"/>
          <w:spacing w:val="0"/>
          <w:sz w:val="32"/>
          <w:szCs w:val="32"/>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报送地点：</w:t>
      </w:r>
      <w:r>
        <w:rPr>
          <w:rFonts w:hint="default" w:ascii="仿宋_GB2312" w:hAnsi="宋体" w:eastAsia="仿宋_GB2312" w:cs="仿宋_GB2312"/>
          <w:b w:val="0"/>
          <w:i w:val="0"/>
          <w:caps w:val="0"/>
          <w:color w:val="auto"/>
          <w:spacing w:val="0"/>
          <w:kern w:val="0"/>
          <w:sz w:val="32"/>
          <w:szCs w:val="32"/>
          <w:shd w:val="clear" w:color="auto" w:fill="FFFFFF"/>
          <w:lang w:val="en-US" w:eastAsia="zh-CN"/>
        </w:rPr>
        <w:t>市科技局</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政策法规与发展规划室</w:t>
      </w:r>
      <w:r>
        <w:rPr>
          <w:rFonts w:hint="default" w:ascii="仿宋_GB2312" w:hAnsi="宋体" w:eastAsia="仿宋_GB2312" w:cs="仿宋_GB2312"/>
          <w:b w:val="0"/>
          <w:i w:val="0"/>
          <w:caps w:val="0"/>
          <w:color w:val="auto"/>
          <w:spacing w:val="0"/>
          <w:kern w:val="0"/>
          <w:sz w:val="32"/>
          <w:szCs w:val="32"/>
          <w:shd w:val="clear" w:color="auto" w:fill="FFFFFF"/>
          <w:lang w:val="en-US" w:eastAsia="zh-CN"/>
        </w:rPr>
        <w:t>（</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政务中心A423-2房间</w:t>
      </w:r>
      <w:r>
        <w:rPr>
          <w:rFonts w:hint="default" w:ascii="仿宋_GB2312" w:hAnsi="宋体" w:eastAsia="仿宋_GB2312" w:cs="仿宋_GB2312"/>
          <w:b w:val="0"/>
          <w:i w:val="0"/>
          <w:caps w:val="0"/>
          <w:color w:val="auto"/>
          <w:spacing w:val="0"/>
          <w:kern w:val="0"/>
          <w:sz w:val="32"/>
          <w:szCs w:val="32"/>
          <w:shd w:val="clear" w:color="auto" w:fill="FFFFFF"/>
          <w:lang w:val="en-US" w:eastAsia="zh-CN"/>
        </w:rPr>
        <w:t>）</w:t>
      </w:r>
    </w:p>
    <w:p w14:paraId="1098E2B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default" w:ascii="仿宋_GB2312" w:hAnsi="宋体" w:eastAsia="仿宋_GB2312" w:cs="仿宋_GB2312"/>
          <w:b w:val="0"/>
          <w:i w:val="0"/>
          <w:caps w:val="0"/>
          <w:color w:val="auto"/>
          <w:spacing w:val="0"/>
          <w:kern w:val="0"/>
          <w:sz w:val="32"/>
          <w:szCs w:val="32"/>
          <w:shd w:val="clear" w:color="auto" w:fill="FFFFFF"/>
          <w:lang w:val="en-US" w:eastAsia="zh-CN"/>
        </w:rPr>
      </w:pPr>
      <w:r>
        <w:rPr>
          <w:rFonts w:hint="eastAsia" w:ascii="仿宋_GB2312" w:hAnsi="宋体" w:eastAsia="仿宋_GB2312" w:cs="仿宋_GB2312"/>
          <w:b w:val="0"/>
          <w:i w:val="0"/>
          <w:caps w:val="0"/>
          <w:color w:val="auto"/>
          <w:spacing w:val="0"/>
          <w:kern w:val="0"/>
          <w:sz w:val="32"/>
          <w:szCs w:val="32"/>
          <w:shd w:val="clear" w:color="auto" w:fill="FFFFFF"/>
          <w:lang w:val="en-US" w:eastAsia="zh-CN"/>
        </w:rPr>
        <w:t>联系人：刘尚玉  田朔</w:t>
      </w:r>
    </w:p>
    <w:p w14:paraId="6C01AF8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仿宋_GB2312" w:hAnsi="宋体" w:eastAsia="仿宋_GB2312" w:cs="仿宋_GB2312"/>
          <w:b w:val="0"/>
          <w:i w:val="0"/>
          <w:caps w:val="0"/>
          <w:color w:val="auto"/>
          <w:spacing w:val="0"/>
          <w:kern w:val="0"/>
          <w:sz w:val="32"/>
          <w:szCs w:val="32"/>
          <w:shd w:val="clear" w:color="auto" w:fill="FFFFFF"/>
          <w:lang w:val="en-US" w:eastAsia="zh-CN"/>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联系电话：5888616</w:t>
      </w:r>
    </w:p>
    <w:p w14:paraId="12C1403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Autospacing="0" w:line="540" w:lineRule="exact"/>
        <w:ind w:left="0" w:leftChars="0" w:right="0" w:firstLine="640" w:firstLineChars="200"/>
        <w:jc w:val="both"/>
        <w:textAlignment w:val="auto"/>
        <w:outlineLvl w:val="9"/>
        <w:rPr>
          <w:rFonts w:hint="eastAsia" w:ascii="黑体" w:hAnsi="宋体" w:eastAsia="黑体" w:cs="宋体"/>
          <w:bCs/>
          <w:color w:val="auto"/>
          <w:kern w:val="0"/>
          <w:sz w:val="32"/>
          <w:szCs w:val="32"/>
        </w:rPr>
      </w:pPr>
      <w:r>
        <w:rPr>
          <w:rFonts w:hint="default" w:ascii="仿宋_GB2312" w:hAnsi="宋体" w:eastAsia="仿宋_GB2312" w:cs="仿宋_GB2312"/>
          <w:b w:val="0"/>
          <w:i w:val="0"/>
          <w:caps w:val="0"/>
          <w:color w:val="auto"/>
          <w:spacing w:val="0"/>
          <w:kern w:val="0"/>
          <w:sz w:val="32"/>
          <w:szCs w:val="32"/>
          <w:shd w:val="clear" w:color="auto" w:fill="FFFFFF"/>
          <w:lang w:val="en-US" w:eastAsia="zh-CN"/>
        </w:rPr>
        <w:t>电子邮箱：</w: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begin"/>
      </w:r>
      <w:r>
        <w:rPr>
          <w:rFonts w:hint="eastAsia" w:ascii="仿宋_GB2312" w:hAnsi="宋体" w:eastAsia="仿宋_GB2312" w:cs="仿宋_GB2312"/>
          <w:b w:val="0"/>
          <w:i w:val="0"/>
          <w:caps w:val="0"/>
          <w:color w:val="auto"/>
          <w:spacing w:val="0"/>
          <w:kern w:val="0"/>
          <w:sz w:val="32"/>
          <w:szCs w:val="32"/>
          <w:shd w:val="clear" w:color="auto" w:fill="FFFFFF"/>
          <w:lang w:val="en-US" w:eastAsia="zh-CN"/>
        </w:rPr>
        <w:instrText xml:space="preserve"> HYPERLINK "mailto:tzkjcgk@163.com" </w:instrTex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separate"/>
      </w:r>
      <w:r>
        <w:rPr>
          <w:rFonts w:hint="default" w:ascii="仿宋_GB2312" w:hAnsi="宋体" w:eastAsia="仿宋_GB2312" w:cs="仿宋_GB2312"/>
          <w:b w:val="0"/>
          <w:i w:val="0"/>
          <w:caps w:val="0"/>
          <w:color w:val="auto"/>
          <w:spacing w:val="0"/>
          <w:kern w:val="0"/>
          <w:sz w:val="32"/>
          <w:szCs w:val="32"/>
          <w:shd w:val="clear" w:color="auto" w:fill="FFFFFF"/>
          <w:lang w:val="en-US" w:eastAsia="zh-CN"/>
        </w:rPr>
        <w:t>tzkj</w:t>
      </w:r>
      <w:r>
        <w:rPr>
          <w:rFonts w:hint="eastAsia" w:ascii="仿宋_GB2312" w:hAnsi="宋体" w:eastAsia="仿宋_GB2312" w:cs="仿宋_GB2312"/>
          <w:b w:val="0"/>
          <w:i w:val="0"/>
          <w:caps w:val="0"/>
          <w:color w:val="auto"/>
          <w:spacing w:val="0"/>
          <w:kern w:val="0"/>
          <w:sz w:val="32"/>
          <w:szCs w:val="32"/>
          <w:shd w:val="clear" w:color="auto" w:fill="FFFFFF"/>
          <w:lang w:val="en-US" w:eastAsia="zh-CN"/>
        </w:rPr>
        <w:t>zfs</w:t>
      </w:r>
      <w:r>
        <w:rPr>
          <w:rFonts w:hint="default" w:ascii="仿宋_GB2312" w:hAnsi="宋体" w:eastAsia="仿宋_GB2312" w:cs="仿宋_GB2312"/>
          <w:b w:val="0"/>
          <w:i w:val="0"/>
          <w:caps w:val="0"/>
          <w:color w:val="auto"/>
          <w:spacing w:val="0"/>
          <w:kern w:val="0"/>
          <w:sz w:val="32"/>
          <w:szCs w:val="32"/>
          <w:shd w:val="clear" w:color="auto" w:fill="FFFFFF"/>
          <w:lang w:val="en-US" w:eastAsia="zh-CN"/>
        </w:rPr>
        <w:t>@163.com</w:t>
      </w:r>
      <w:r>
        <w:rPr>
          <w:rFonts w:hint="eastAsia" w:ascii="仿宋_GB2312" w:hAnsi="宋体" w:eastAsia="仿宋_GB2312" w:cs="仿宋_GB2312"/>
          <w:b w:val="0"/>
          <w:i w:val="0"/>
          <w:caps w:val="0"/>
          <w:color w:val="auto"/>
          <w:spacing w:val="0"/>
          <w:kern w:val="0"/>
          <w:sz w:val="32"/>
          <w:szCs w:val="32"/>
          <w:shd w:val="clear" w:color="auto" w:fill="FFFFFF"/>
          <w:lang w:val="en-US" w:eastAsia="zh-CN"/>
        </w:rPr>
        <w:fldChar w:fldCharType="end"/>
      </w:r>
    </w:p>
    <w:p w14:paraId="73EED0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lang w:val="en-US" w:eastAsia="zh-CN"/>
        </w:rPr>
      </w:pPr>
    </w:p>
    <w:p w14:paraId="06B8ED1A">
      <w:pPr>
        <w:adjustRightInd w:val="0"/>
        <w:snapToGrid w:val="0"/>
        <w:spacing w:line="580" w:lineRule="exact"/>
        <w:ind w:firstLine="640" w:firstLineChars="200"/>
        <w:rPr>
          <w:rFonts w:hint="default" w:ascii="Times New Roman" w:hAnsi="Times New Roman" w:eastAsia="仿宋_GB2312" w:cs="Times New Roman"/>
          <w:color w:val="auto"/>
          <w:kern w:val="2"/>
          <w:sz w:val="32"/>
          <w:szCs w:val="32"/>
          <w:highlight w:val="none"/>
          <w:lang w:val="en-US" w:eastAsia="zh-CN" w:bidi="ar-SA"/>
        </w:rPr>
      </w:pPr>
    </w:p>
    <w:p w14:paraId="4BE089B6">
      <w:pPr>
        <w:rPr>
          <w:rFonts w:hint="default" w:eastAsia="宋体"/>
          <w:color w:val="auto"/>
          <w:lang w:val="en-US" w:eastAsia="zh-CN"/>
        </w:rPr>
      </w:pPr>
    </w:p>
    <w:sectPr>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DA14A3-4E97-4BB7-ABF1-371B7B1EE0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A3E235F-6098-4CEF-AE62-F873FA983C48}"/>
  </w:font>
  <w:font w:name="方正小标宋简体">
    <w:panose1 w:val="02000000000000000000"/>
    <w:charset w:val="86"/>
    <w:family w:val="auto"/>
    <w:pitch w:val="default"/>
    <w:sig w:usb0="00000001" w:usb1="080E0000" w:usb2="00000000" w:usb3="00000000" w:csb0="00040000" w:csb1="00000000"/>
    <w:embedRegular r:id="rId3" w:fontKey="{C8DA3CCC-BB77-44CA-A5E6-AFE2BEF2D4D7}"/>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47D10BA9-A195-4138-9254-D13B666410D3}"/>
  </w:font>
  <w:font w:name="楷体_GB2312">
    <w:altName w:val="楷体"/>
    <w:panose1 w:val="02010609030001010101"/>
    <w:charset w:val="86"/>
    <w:family w:val="auto"/>
    <w:pitch w:val="default"/>
    <w:sig w:usb0="00000000" w:usb1="00000000" w:usb2="00000000" w:usb3="00000000" w:csb0="00040000" w:csb1="00000000"/>
    <w:embedRegular r:id="rId5" w:fontKey="{D73949CF-B5B6-46AD-A94A-DC8DDB29D25A}"/>
  </w:font>
  <w:font w:name="仿宋">
    <w:panose1 w:val="02010609060101010101"/>
    <w:charset w:val="86"/>
    <w:family w:val="auto"/>
    <w:pitch w:val="default"/>
    <w:sig w:usb0="800002BF" w:usb1="38CF7CFA" w:usb2="00000016" w:usb3="00000000" w:csb0="00040001" w:csb1="00000000"/>
    <w:embedRegular r:id="rId6" w:fontKey="{69CE1B11-5931-4D88-97F5-7899F6CFB0E9}"/>
  </w:font>
  <w:font w:name="楷体">
    <w:panose1 w:val="02010609060101010101"/>
    <w:charset w:val="86"/>
    <w:family w:val="auto"/>
    <w:pitch w:val="default"/>
    <w:sig w:usb0="800002BF" w:usb1="38CF7CFA" w:usb2="00000016" w:usb3="00000000" w:csb0="00040001" w:csb1="00000000"/>
  </w:font>
  <w:font w:name="KSOFF9CC612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D2BA3E">
    <w:pPr>
      <w:pStyle w:val="9"/>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1C18016">
                          <w:pPr>
                            <w:pStyle w:val="9"/>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21C18016">
                    <w:pPr>
                      <w:pStyle w:val="9"/>
                    </w:pPr>
                    <w:r>
                      <w:fldChar w:fldCharType="begin"/>
                    </w:r>
                    <w:r>
                      <w:instrText xml:space="preserve"> PAGE  \* MERGEFORMAT </w:instrText>
                    </w:r>
                    <w:r>
                      <w:fldChar w:fldCharType="separate"/>
                    </w:r>
                    <w:r>
                      <w:t>1</w:t>
                    </w:r>
                    <w: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86E26D">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1"/>
      <w:numFmt w:val="chineseCounting"/>
      <w:suff w:val="nothing"/>
      <w:lvlText w:val="%1、"/>
      <w:lvlJc w:val="left"/>
      <w:rPr>
        <w:rFonts w:hint="eastAsia"/>
      </w:rPr>
    </w:lvl>
  </w:abstractNum>
  <w:abstractNum w:abstractNumId="2">
    <w:nsid w:val="00000002"/>
    <w:multiLevelType w:val="singleLevel"/>
    <w:tmpl w:val="00000002"/>
    <w:lvl w:ilvl="0" w:tentative="0">
      <w:start w:val="1"/>
      <w:numFmt w:val="chineseCounting"/>
      <w:suff w:val="nothing"/>
      <w:lvlText w:val="（%1）"/>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5710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paragraph" w:styleId="2">
    <w:name w:val="heading 1"/>
    <w:basedOn w:val="1"/>
    <w:next w:val="1"/>
    <w:qFormat/>
    <w:uiPriority w:val="0"/>
    <w:pPr>
      <w:keepNext w:val="0"/>
      <w:keepLines w:val="0"/>
      <w:overflowPunct w:val="0"/>
      <w:spacing w:line="580" w:lineRule="exact"/>
      <w:ind w:firstLine="0" w:firstLineChars="0"/>
      <w:jc w:val="center"/>
      <w:outlineLvl w:val="0"/>
    </w:pPr>
    <w:rPr>
      <w:rFonts w:ascii="Times New Roman" w:hAnsi="Times New Roman" w:eastAsia="方正小标宋简体" w:cs="Times New Roman"/>
      <w:bCs/>
      <w:snapToGrid w:val="0"/>
      <w:color w:val="000000"/>
      <w:kern w:val="44"/>
      <w:sz w:val="44"/>
      <w:szCs w:val="44"/>
      <w:lang w:eastAsia="en-US"/>
    </w:rPr>
  </w:style>
  <w:style w:type="paragraph" w:styleId="3">
    <w:name w:val="heading 2"/>
    <w:basedOn w:val="1"/>
    <w:qFormat/>
    <w:uiPriority w:val="0"/>
    <w:pPr>
      <w:keepNext w:val="0"/>
      <w:keepLines w:val="0"/>
      <w:widowControl w:val="0"/>
      <w:kinsoku/>
      <w:overflowPunct w:val="0"/>
      <w:spacing w:beforeAutospacing="0" w:afterAutospacing="0" w:line="580" w:lineRule="exact"/>
      <w:ind w:left="0" w:firstLine="640" w:firstLineChars="200"/>
      <w:outlineLvl w:val="1"/>
    </w:pPr>
    <w:rPr>
      <w:rFonts w:ascii="Times New Roman" w:hAnsi="Times New Roman" w:eastAsia="黑体"/>
      <w:sz w:val="32"/>
    </w:rPr>
  </w:style>
  <w:style w:type="character" w:default="1" w:styleId="13">
    <w:name w:val="Default Paragraph Font"/>
    <w:qFormat/>
    <w:uiPriority w:val="0"/>
  </w:style>
  <w:style w:type="table" w:default="1" w:styleId="12">
    <w:name w:val="Normal Table"/>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style>
  <w:style w:type="paragraph" w:styleId="5">
    <w:name w:val="Body Text First Indent 2"/>
    <w:basedOn w:val="6"/>
    <w:next w:val="1"/>
    <w:qFormat/>
    <w:uiPriority w:val="0"/>
    <w:pPr>
      <w:widowControl w:val="0"/>
      <w:ind w:left="420" w:leftChars="200" w:firstLine="420" w:firstLineChars="200"/>
      <w:jc w:val="both"/>
    </w:pPr>
    <w:rPr>
      <w:rFonts w:ascii="Calibri" w:hAnsi="Calibri" w:eastAsia="宋体" w:cs="Times New Roman"/>
      <w:kern w:val="2"/>
      <w:sz w:val="21"/>
      <w:szCs w:val="24"/>
      <w:lang w:val="en-US" w:eastAsia="zh-CN" w:bidi="ar-SA"/>
    </w:rPr>
  </w:style>
  <w:style w:type="paragraph" w:styleId="6">
    <w:name w:val="Body Text Indent"/>
    <w:basedOn w:val="1"/>
    <w:next w:val="4"/>
    <w:qFormat/>
    <w:uiPriority w:val="99"/>
    <w:pPr>
      <w:widowControl w:val="0"/>
      <w:spacing w:after="120"/>
      <w:ind w:left="420" w:leftChars="200"/>
      <w:jc w:val="both"/>
    </w:pPr>
    <w:rPr>
      <w:rFonts w:ascii="Calibri" w:hAnsi="Calibri" w:eastAsia="宋体" w:cs="Times New Roman"/>
      <w:kern w:val="2"/>
      <w:sz w:val="21"/>
      <w:szCs w:val="24"/>
      <w:lang w:val="en-US" w:eastAsia="zh-CN" w:bidi="ar-SA"/>
    </w:rPr>
  </w:style>
  <w:style w:type="paragraph" w:styleId="7">
    <w:name w:val="Body Text"/>
    <w:basedOn w:val="1"/>
    <w:next w:val="8"/>
    <w:qFormat/>
    <w:uiPriority w:val="1"/>
    <w:pPr>
      <w:ind w:left="120"/>
    </w:pPr>
    <w:rPr>
      <w:sz w:val="32"/>
      <w:szCs w:val="32"/>
    </w:rPr>
  </w:style>
  <w:style w:type="paragraph" w:styleId="8">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9311</Words>
  <Characters>10007</Characters>
  <Paragraphs>197</Paragraphs>
  <TotalTime>4</TotalTime>
  <ScaleCrop>false</ScaleCrop>
  <LinksUpToDate>false</LinksUpToDate>
  <CharactersWithSpaces>10017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2026-03-17T06:18:00Z</dcterms:created>
  <dc:creator>77298</dc:creator>
  <cp:lastModifiedBy>亚撒西</cp:lastModifiedBy>
  <cp:lastPrinted>2026-07-26T08:57:00Z</cp:lastPrinted>
  <dcterms:modified xsi:type="dcterms:W3CDTF">2026-07-24T12:30:46Z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05D1BFD9F9CF4CAA927A460026B6B6F2_13</vt:lpwstr>
  </property>
  <property fmtid="{D5CDD505-2E9C-101B-9397-08002B2CF9AE}" pid="4" name="KSOTemplateDocerSaveRecord">
    <vt:lpwstr>eyJoZGlkIjoiYzE5NzdjODMzNjRlYzZkMzI2ZGJiMjEzYTQ4MDMyYTciLCJ1c2VySWQiOiIxMDY1NDQyOTg2In0=</vt:lpwstr>
  </property>
</Properties>
</file>